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20" w:lineRule="exact"/>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 xml:space="preserve"> </w:t>
      </w:r>
    </w:p>
    <w:p>
      <w:pPr>
        <w:widowControl w:val="0"/>
        <w:wordWrap/>
        <w:adjustRightInd/>
        <w:snapToGrid/>
        <w:spacing w:line="620" w:lineRule="exact"/>
        <w:jc w:val="center"/>
        <w:textAlignment w:val="auto"/>
        <w:rPr>
          <w:rFonts w:hint="default" w:ascii="Times New Roman" w:hAnsi="Times New Roman" w:eastAsia="方正小标宋简体" w:cs="Times New Roman"/>
          <w:color w:val="auto"/>
          <w:sz w:val="44"/>
          <w:szCs w:val="44"/>
          <w:lang w:eastAsia="zh-CN"/>
        </w:rPr>
      </w:pPr>
    </w:p>
    <w:p>
      <w:pPr>
        <w:widowControl w:val="0"/>
        <w:wordWrap/>
        <w:adjustRightInd/>
        <w:snapToGrid/>
        <w:spacing w:line="620" w:lineRule="exact"/>
        <w:jc w:val="center"/>
        <w:textAlignment w:val="auto"/>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甘肃省</w:t>
      </w:r>
      <w:r>
        <w:rPr>
          <w:rFonts w:hint="eastAsia" w:ascii="Times New Roman" w:hAnsi="Times New Roman" w:eastAsia="方正小标宋简体" w:cs="Times New Roman"/>
          <w:color w:val="auto"/>
          <w:sz w:val="44"/>
          <w:szCs w:val="44"/>
          <w:lang w:val="en-US" w:eastAsia="zh-CN"/>
        </w:rPr>
        <w:t>石化化工</w:t>
      </w:r>
      <w:r>
        <w:rPr>
          <w:rFonts w:hint="default" w:ascii="Times New Roman" w:hAnsi="Times New Roman" w:eastAsia="方正小标宋简体" w:cs="Times New Roman"/>
          <w:color w:val="auto"/>
          <w:sz w:val="44"/>
          <w:szCs w:val="44"/>
          <w:lang w:eastAsia="zh-CN"/>
        </w:rPr>
        <w:t>领域</w:t>
      </w:r>
      <w:r>
        <w:rPr>
          <w:rFonts w:hint="eastAsia" w:ascii="Times New Roman" w:hAnsi="Times New Roman" w:eastAsia="方正小标宋简体" w:cs="Times New Roman"/>
          <w:color w:val="auto"/>
          <w:sz w:val="44"/>
          <w:szCs w:val="44"/>
          <w:lang w:eastAsia="zh-CN"/>
        </w:rPr>
        <w:t>企业节能降碳</w:t>
      </w:r>
    </w:p>
    <w:p>
      <w:pPr>
        <w:widowControl w:val="0"/>
        <w:wordWrap/>
        <w:adjustRightInd/>
        <w:snapToGrid/>
        <w:spacing w:line="620" w:lineRule="exact"/>
        <w:jc w:val="center"/>
        <w:textAlignment w:val="auto"/>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技术改造总体实施方案</w:t>
      </w:r>
    </w:p>
    <w:p>
      <w:pPr>
        <w:widowControl w:val="0"/>
        <w:wordWrap/>
        <w:adjustRightInd/>
        <w:snapToGrid/>
        <w:spacing w:line="240" w:lineRule="auto"/>
        <w:ind w:right="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公示稿</w:t>
      </w:r>
      <w:bookmarkStart w:id="0" w:name="_GoBack"/>
      <w:bookmarkEnd w:id="0"/>
      <w:r>
        <w:rPr>
          <w:rFonts w:hint="eastAsia" w:ascii="楷体_GB2312" w:hAnsi="楷体_GB2312" w:eastAsia="楷体_GB2312" w:cs="楷体_GB2312"/>
          <w:sz w:val="32"/>
          <w:szCs w:val="32"/>
          <w:lang w:val="en-US" w:eastAsia="zh-CN"/>
        </w:rPr>
        <w:t>）</w:t>
      </w:r>
    </w:p>
    <w:p>
      <w:pPr>
        <w:widowControl w:val="0"/>
        <w:wordWrap/>
        <w:adjustRightInd/>
        <w:snapToGrid/>
        <w:spacing w:line="240" w:lineRule="auto"/>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p>
    <w:p>
      <w:pPr>
        <w:widowControl w:val="0"/>
        <w:wordWrap/>
        <w:adjustRightInd/>
        <w:snapToGrid/>
        <w:spacing w:line="240" w:lineRule="auto"/>
        <w:ind w:left="0" w:leftChars="0" w:right="0" w:firstLine="640" w:firstLineChars="200"/>
        <w:jc w:val="both"/>
        <w:textAlignment w:val="auto"/>
        <w:outlineLvl w:val="9"/>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为贯彻落实《国家发展改革委等部门关于严格能效约束推动重点领域节能降碳的若干意见》（发改产业〔2021〕1464号）和</w:t>
      </w:r>
      <w:r>
        <w:rPr>
          <w:rFonts w:hint="eastAsia" w:ascii="仿宋_GB2312" w:hAnsi="仿宋_GB2312" w:eastAsia="仿宋_GB2312" w:cs="仿宋_GB2312"/>
          <w:color w:val="auto"/>
          <w:sz w:val="32"/>
          <w:szCs w:val="32"/>
          <w:lang w:eastAsia="zh-CN"/>
        </w:rPr>
        <w:t>《关于严格能效约束推动重点领域节能降碳的实施方案》（甘发改产业〔2021〕807号）精神，</w:t>
      </w:r>
      <w:r>
        <w:rPr>
          <w:rFonts w:hint="default" w:ascii="仿宋_GB2312" w:hAnsi="仿宋_GB2312" w:eastAsia="仿宋_GB2312" w:cs="仿宋_GB2312"/>
          <w:color w:val="auto"/>
          <w:sz w:val="32"/>
          <w:szCs w:val="32"/>
          <w:lang w:eastAsia="zh-CN"/>
        </w:rPr>
        <w:t>推动全省重点工业领域节能降碳和绿色转型，组织</w:t>
      </w:r>
      <w:r>
        <w:rPr>
          <w:rFonts w:hint="default" w:ascii="仿宋_GB2312" w:hAnsi="仿宋_GB2312" w:eastAsia="仿宋_GB2312" w:cs="仿宋_GB2312"/>
          <w:color w:val="auto"/>
          <w:sz w:val="32"/>
          <w:szCs w:val="32"/>
          <w:lang w:val="en-US" w:eastAsia="zh-CN"/>
        </w:rPr>
        <w:t>石化化工</w:t>
      </w:r>
      <w:r>
        <w:rPr>
          <w:rFonts w:hint="default" w:ascii="仿宋_GB2312" w:hAnsi="仿宋_GB2312" w:eastAsia="仿宋_GB2312" w:cs="仿宋_GB2312"/>
          <w:color w:val="auto"/>
          <w:sz w:val="32"/>
          <w:szCs w:val="32"/>
          <w:lang w:eastAsia="zh-CN"/>
        </w:rPr>
        <w:t>重点行业企业加快实施技术改造，提升行业整体能效水平，制定本方案。</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一、总体要求</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（一）指导思想</w:t>
      </w:r>
    </w:p>
    <w:p>
      <w:pPr>
        <w:widowControl w:val="0"/>
        <w:wordWrap/>
        <w:adjustRightInd/>
        <w:snapToGrid/>
        <w:spacing w:line="240" w:lineRule="auto"/>
        <w:ind w:left="0" w:leftChars="0" w:right="0" w:firstLine="640" w:firstLineChars="200"/>
        <w:jc w:val="both"/>
        <w:textAlignment w:val="auto"/>
        <w:outlineLvl w:val="9"/>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以习近平新时代中国特色社会主义思想为指导，深入贯彻习近平生态文明思想，全面贯彻落实党的十九大和十九届历次全会精神，立足新发展阶段，完整、准确、全面贯彻新发展理念，构建新发展格局，科学处理发展和减排、整体和局部、短期和中长期的关系，强化系统观念，推进综合施策，严格监督管理，对标国家重点行业能效标杆水平，深挖节能降碳技术改造潜力，推动高能耗企业实施技术改造，带动全行业绿色低碳转型，为如期实现碳达峰、</w:t>
      </w:r>
      <w:r>
        <w:rPr>
          <w:rFonts w:hint="default" w:ascii="仿宋_GB2312" w:hAnsi="仿宋_GB2312" w:eastAsia="仿宋_GB2312" w:cs="仿宋_GB2312"/>
          <w:color w:val="auto"/>
          <w:sz w:val="32"/>
          <w:szCs w:val="32"/>
          <w:lang w:val="en-US" w:eastAsia="zh-CN"/>
        </w:rPr>
        <w:t>碳中和</w:t>
      </w:r>
      <w:r>
        <w:rPr>
          <w:rFonts w:hint="default" w:ascii="仿宋_GB2312" w:hAnsi="仿宋_GB2312" w:eastAsia="仿宋_GB2312" w:cs="仿宋_GB2312"/>
          <w:color w:val="auto"/>
          <w:sz w:val="32"/>
          <w:szCs w:val="32"/>
          <w:lang w:eastAsia="zh-CN"/>
        </w:rPr>
        <w:t>目标提供有力支撑。</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（二）主要目标</w:t>
      </w:r>
    </w:p>
    <w:p>
      <w:pPr>
        <w:widowControl w:val="0"/>
        <w:wordWrap/>
        <w:adjustRightInd/>
        <w:snapToGrid/>
        <w:spacing w:line="240" w:lineRule="auto"/>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eastAsia="zh-CN"/>
        </w:rPr>
        <w:t>通过实施节能降碳技术改造，到2025年底，全省</w:t>
      </w:r>
      <w:r>
        <w:rPr>
          <w:rFonts w:hint="default" w:ascii="仿宋_GB2312" w:hAnsi="仿宋_GB2312" w:eastAsia="仿宋_GB2312" w:cs="仿宋_GB2312"/>
          <w:color w:val="auto"/>
          <w:sz w:val="32"/>
          <w:szCs w:val="32"/>
          <w:highlight w:val="none"/>
          <w:lang w:val="en-US" w:eastAsia="zh-CN"/>
        </w:rPr>
        <w:t>石化化工</w:t>
      </w:r>
      <w:r>
        <w:rPr>
          <w:rFonts w:hint="default" w:ascii="仿宋_GB2312" w:hAnsi="仿宋_GB2312" w:eastAsia="仿宋_GB2312" w:cs="仿宋_GB2312"/>
          <w:color w:val="auto"/>
          <w:sz w:val="32"/>
          <w:szCs w:val="32"/>
          <w:highlight w:val="none"/>
          <w:lang w:eastAsia="zh-CN"/>
        </w:rPr>
        <w:t>领域能效达到标杆水平的产能比例超过30%（</w:t>
      </w:r>
      <w:r>
        <w:rPr>
          <w:rFonts w:hint="default" w:ascii="仿宋_GB2312" w:hAnsi="仿宋_GB2312" w:eastAsia="仿宋_GB2312" w:cs="仿宋_GB2312"/>
          <w:color w:val="auto"/>
          <w:sz w:val="32"/>
          <w:szCs w:val="32"/>
          <w:highlight w:val="none"/>
          <w:lang w:val="en-US" w:eastAsia="zh-CN"/>
        </w:rPr>
        <w:t>合成氨能效标杆水平</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产能比例达到15%）</w:t>
      </w:r>
      <w:r>
        <w:rPr>
          <w:rFonts w:hint="default" w:ascii="仿宋_GB2312" w:hAnsi="仿宋_GB2312" w:eastAsia="仿宋_GB2312" w:cs="仿宋_GB2312"/>
          <w:color w:val="auto"/>
          <w:sz w:val="32"/>
          <w:szCs w:val="32"/>
          <w:highlight w:val="none"/>
          <w:lang w:eastAsia="zh-CN"/>
        </w:rPr>
        <w:t>，推动行业整体能效水平</w:t>
      </w:r>
      <w:r>
        <w:rPr>
          <w:rFonts w:hint="default" w:ascii="仿宋_GB2312" w:hAnsi="仿宋_GB2312" w:eastAsia="仿宋_GB2312" w:cs="仿宋_GB2312"/>
          <w:color w:val="auto"/>
          <w:sz w:val="32"/>
          <w:szCs w:val="32"/>
          <w:highlight w:val="none"/>
          <w:lang w:val="en-US" w:eastAsia="zh-CN"/>
        </w:rPr>
        <w:t>显著</w:t>
      </w:r>
      <w:r>
        <w:rPr>
          <w:rFonts w:hint="default" w:ascii="仿宋_GB2312" w:hAnsi="仿宋_GB2312" w:eastAsia="仿宋_GB2312" w:cs="仿宋_GB2312"/>
          <w:color w:val="auto"/>
          <w:sz w:val="32"/>
          <w:szCs w:val="32"/>
          <w:highlight w:val="none"/>
          <w:lang w:eastAsia="zh-CN"/>
        </w:rPr>
        <w:t>提升、碳排放强度明显下降、绿色低碳发展能力显著增强、节能技术创新应用取得积极进展。</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二、重点任务</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（一）加强能效清单目录管理</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以国家《高耗能行业重点领域能效标杆水平和基准水平（2021年版）》为标准，以全省</w:t>
      </w:r>
      <w:r>
        <w:rPr>
          <w:rFonts w:hint="eastAsia" w:ascii="仿宋_GB2312" w:hAnsi="仿宋_GB2312" w:eastAsia="仿宋_GB2312" w:cs="仿宋_GB2312"/>
          <w:color w:val="auto"/>
          <w:sz w:val="32"/>
          <w:szCs w:val="32"/>
          <w:highlight w:val="none"/>
          <w:lang w:val="en-US" w:eastAsia="zh-CN"/>
        </w:rPr>
        <w:t>石化化工</w:t>
      </w:r>
      <w:r>
        <w:rPr>
          <w:rFonts w:hint="eastAsia" w:ascii="仿宋_GB2312" w:hAnsi="仿宋_GB2312" w:eastAsia="仿宋_GB2312" w:cs="仿宋_GB2312"/>
          <w:color w:val="auto"/>
          <w:sz w:val="32"/>
          <w:szCs w:val="32"/>
          <w:highlight w:val="none"/>
          <w:lang w:eastAsia="zh-CN"/>
        </w:rPr>
        <w:t>领域企业装置能效清单目录为基础，</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能效</w:t>
      </w:r>
      <w:r>
        <w:rPr>
          <w:rFonts w:hint="eastAsia" w:ascii="仿宋_GB2312" w:hAnsi="仿宋_GB2312" w:eastAsia="仿宋_GB2312" w:cs="仿宋_GB2312"/>
          <w:color w:val="auto"/>
          <w:sz w:val="32"/>
          <w:szCs w:val="32"/>
          <w:highlight w:val="none"/>
        </w:rPr>
        <w:t>清单目录</w:t>
      </w:r>
      <w:r>
        <w:rPr>
          <w:rFonts w:hint="eastAsia" w:ascii="仿宋_GB2312" w:hAnsi="仿宋_GB2312" w:eastAsia="仿宋_GB2312" w:cs="仿宋_GB2312"/>
          <w:color w:val="auto"/>
          <w:sz w:val="32"/>
          <w:szCs w:val="32"/>
          <w:highlight w:val="none"/>
          <w:lang w:eastAsia="zh-CN"/>
        </w:rPr>
        <w:t>实行动态更新管理。对能效清单目录中企业通过技术改造、设备更新等方式提升能效水平，或因其他原因导致能效发生变化的，由属地发展改革部门会同工信部门按程序及时报送更新能效清单目录；对于在建、拟建项目，要</w:t>
      </w:r>
      <w:r>
        <w:rPr>
          <w:rFonts w:hint="eastAsia" w:ascii="仿宋_GB2312" w:hAnsi="仿宋_GB2312" w:eastAsia="仿宋_GB2312" w:cs="仿宋_GB2312"/>
          <w:color w:val="auto"/>
          <w:sz w:val="32"/>
          <w:szCs w:val="32"/>
          <w:highlight w:val="none"/>
        </w:rPr>
        <w:t>密切关注进展情况，在投产后</w:t>
      </w:r>
      <w:r>
        <w:rPr>
          <w:rFonts w:hint="eastAsia" w:ascii="仿宋_GB2312" w:hAnsi="仿宋_GB2312" w:eastAsia="仿宋_GB2312" w:cs="仿宋_GB2312"/>
          <w:color w:val="auto"/>
          <w:sz w:val="32"/>
          <w:szCs w:val="32"/>
          <w:highlight w:val="none"/>
          <w:lang w:eastAsia="zh-CN"/>
        </w:rPr>
        <w:t>半年</w:t>
      </w:r>
      <w:r>
        <w:rPr>
          <w:rFonts w:hint="eastAsia" w:ascii="仿宋_GB2312" w:hAnsi="仿宋_GB2312" w:eastAsia="仿宋_GB2312" w:cs="仿宋_GB2312"/>
          <w:color w:val="auto"/>
          <w:sz w:val="32"/>
          <w:szCs w:val="32"/>
          <w:highlight w:val="none"/>
        </w:rPr>
        <w:t>内，</w:t>
      </w:r>
      <w:r>
        <w:rPr>
          <w:rFonts w:hint="eastAsia" w:ascii="仿宋_GB2312" w:hAnsi="仿宋_GB2312" w:eastAsia="仿宋_GB2312" w:cs="仿宋_GB2312"/>
          <w:color w:val="auto"/>
          <w:sz w:val="32"/>
          <w:szCs w:val="32"/>
          <w:highlight w:val="none"/>
          <w:lang w:eastAsia="zh-CN"/>
        </w:rPr>
        <w:t>由属地发展改革部门会同工信部门</w:t>
      </w:r>
      <w:r>
        <w:rPr>
          <w:rFonts w:hint="eastAsia" w:ascii="仿宋_GB2312" w:hAnsi="仿宋_GB2312" w:eastAsia="仿宋_GB2312" w:cs="仿宋_GB2312"/>
          <w:color w:val="auto"/>
          <w:sz w:val="32"/>
          <w:szCs w:val="32"/>
          <w:highlight w:val="none"/>
        </w:rPr>
        <w:t>及时组织开展能效水平调查，按程序</w:t>
      </w:r>
      <w:r>
        <w:rPr>
          <w:rFonts w:hint="eastAsia" w:ascii="仿宋_GB2312" w:hAnsi="仿宋_GB2312" w:eastAsia="仿宋_GB2312" w:cs="仿宋_GB2312"/>
          <w:color w:val="auto"/>
          <w:sz w:val="32"/>
          <w:szCs w:val="32"/>
          <w:highlight w:val="none"/>
          <w:lang w:eastAsia="zh-CN"/>
        </w:rPr>
        <w:t>报送</w:t>
      </w:r>
      <w:r>
        <w:rPr>
          <w:rFonts w:hint="eastAsia" w:ascii="仿宋_GB2312" w:hAnsi="仿宋_GB2312" w:eastAsia="仿宋_GB2312" w:cs="仿宋_GB2312"/>
          <w:color w:val="auto"/>
          <w:sz w:val="32"/>
          <w:szCs w:val="32"/>
          <w:highlight w:val="none"/>
        </w:rPr>
        <w:t>列入能效清单目录</w:t>
      </w:r>
      <w:r>
        <w:rPr>
          <w:rFonts w:hint="eastAsia" w:ascii="仿宋_GB2312" w:hAnsi="仿宋_GB2312" w:eastAsia="仿宋_GB2312" w:cs="仿宋_GB2312"/>
          <w:color w:val="auto"/>
          <w:sz w:val="32"/>
          <w:szCs w:val="32"/>
          <w:highlight w:val="none"/>
          <w:lang w:eastAsia="zh-CN"/>
        </w:rPr>
        <w:t>。各地要</w:t>
      </w:r>
      <w:r>
        <w:rPr>
          <w:rFonts w:hint="eastAsia" w:ascii="仿宋_GB2312" w:hAnsi="仿宋_GB2312" w:eastAsia="仿宋_GB2312" w:cs="仿宋_GB2312"/>
          <w:color w:val="auto"/>
          <w:sz w:val="32"/>
          <w:szCs w:val="32"/>
          <w:highlight w:val="none"/>
        </w:rPr>
        <w:t>确保</w:t>
      </w:r>
      <w:r>
        <w:rPr>
          <w:rFonts w:hint="eastAsia" w:ascii="仿宋_GB2312" w:hAnsi="仿宋_GB2312" w:eastAsia="仿宋_GB2312" w:cs="仿宋_GB2312"/>
          <w:color w:val="auto"/>
          <w:sz w:val="32"/>
          <w:szCs w:val="32"/>
          <w:highlight w:val="none"/>
          <w:lang w:val="en-US" w:eastAsia="zh-CN"/>
        </w:rPr>
        <w:t>石化化工</w:t>
      </w:r>
      <w:r>
        <w:rPr>
          <w:rFonts w:hint="eastAsia" w:ascii="仿宋_GB2312" w:hAnsi="仿宋_GB2312" w:eastAsia="仿宋_GB2312" w:cs="仿宋_GB2312"/>
          <w:color w:val="auto"/>
          <w:sz w:val="32"/>
          <w:szCs w:val="32"/>
          <w:highlight w:val="none"/>
          <w:lang w:eastAsia="zh-CN"/>
        </w:rPr>
        <w:t>重点领域</w:t>
      </w:r>
      <w:r>
        <w:rPr>
          <w:rFonts w:hint="eastAsia" w:ascii="仿宋_GB2312" w:hAnsi="仿宋_GB2312" w:eastAsia="仿宋_GB2312" w:cs="仿宋_GB2312"/>
          <w:color w:val="auto"/>
          <w:sz w:val="32"/>
          <w:szCs w:val="32"/>
          <w:highlight w:val="none"/>
        </w:rPr>
        <w:t>现有企业全覆盖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对于瞒报漏报的企业和装置，视为</w:t>
      </w:r>
      <w:r>
        <w:rPr>
          <w:rFonts w:hint="eastAsia" w:ascii="仿宋_GB2312" w:hAnsi="仿宋_GB2312" w:eastAsia="仿宋_GB2312" w:cs="仿宋_GB2312"/>
          <w:color w:val="auto"/>
          <w:sz w:val="32"/>
          <w:szCs w:val="32"/>
          <w:highlight w:val="none"/>
          <w:lang w:eastAsia="zh-CN"/>
        </w:rPr>
        <w:t>达不到能效基准水平，</w:t>
      </w:r>
      <w:r>
        <w:rPr>
          <w:rFonts w:hint="eastAsia" w:ascii="仿宋_GB2312" w:hAnsi="仿宋_GB2312" w:eastAsia="仿宋_GB2312" w:cs="仿宋_GB2312"/>
          <w:color w:val="auto"/>
          <w:kern w:val="0"/>
          <w:sz w:val="32"/>
          <w:szCs w:val="32"/>
          <w:lang w:val="en-US" w:eastAsia="zh-CN"/>
        </w:rPr>
        <w:t>列入能效落后清单</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楷体_GB2312" w:cs="Times New Roman"/>
          <w:color w:val="auto"/>
          <w:sz w:val="32"/>
          <w:szCs w:val="32"/>
          <w:highlight w:val="none"/>
        </w:rPr>
        <w:t>（省发展改革委、省工信厅按职责分工负责，各市州、兰州新区组织实施。以下均需各市州、兰州新区组织实施，不再列出）</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（二）分类推动能效水平提升</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对新建项目要</w:t>
      </w:r>
      <w:r>
        <w:rPr>
          <w:rFonts w:hint="eastAsia" w:ascii="仿宋_GB2312" w:hAnsi="仿宋_GB2312" w:eastAsia="仿宋_GB2312" w:cs="仿宋_GB2312"/>
          <w:color w:val="auto"/>
          <w:sz w:val="32"/>
          <w:szCs w:val="32"/>
          <w:highlight w:val="none"/>
          <w:lang w:eastAsia="zh-CN"/>
        </w:rPr>
        <w:t>严把项目准入关口，</w:t>
      </w:r>
      <w:r>
        <w:rPr>
          <w:rFonts w:hint="eastAsia" w:ascii="仿宋_GB2312" w:hAnsi="仿宋_GB2312" w:eastAsia="仿宋_GB2312" w:cs="仿宋_GB2312"/>
          <w:color w:val="auto"/>
          <w:sz w:val="32"/>
          <w:szCs w:val="32"/>
          <w:highlight w:val="none"/>
        </w:rPr>
        <w:t>严格落实发展规划、产业政策、产能置换、审批手续、行业标准等要求，</w:t>
      </w:r>
      <w:r>
        <w:rPr>
          <w:rFonts w:hint="eastAsia" w:ascii="仿宋_GB2312" w:hAnsi="仿宋_GB2312" w:eastAsia="仿宋_GB2312" w:cs="仿宋_GB2312"/>
          <w:color w:val="auto"/>
          <w:sz w:val="32"/>
          <w:szCs w:val="32"/>
          <w:highlight w:val="none"/>
          <w:lang w:eastAsia="zh-CN"/>
        </w:rPr>
        <w:t>确保能效达到</w:t>
      </w:r>
      <w:r>
        <w:rPr>
          <w:rFonts w:hint="eastAsia" w:ascii="仿宋_GB2312" w:hAnsi="仿宋_GB2312" w:eastAsia="仿宋_GB2312" w:cs="仿宋_GB2312"/>
          <w:color w:val="auto"/>
          <w:sz w:val="32"/>
          <w:szCs w:val="32"/>
          <w:highlight w:val="none"/>
        </w:rPr>
        <w:t>标杆水平，</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违规审批、未批先建、批建不符等违法违规行为，坚决依法查处。对在建项目，应对照能效标杆水平建设实施，推动能效水平应提尽提，力争全面达到标杆水平。对已建成投产项</w:t>
      </w:r>
      <w:r>
        <w:rPr>
          <w:rFonts w:hint="eastAsia" w:ascii="仿宋_GB2312" w:hAnsi="仿宋_GB2312" w:eastAsia="仿宋_GB2312" w:cs="仿宋_GB2312"/>
          <w:color w:val="auto"/>
          <w:sz w:val="32"/>
          <w:szCs w:val="32"/>
          <w:highlight w:val="none"/>
          <w:lang w:eastAsia="zh-CN"/>
        </w:rPr>
        <w:t>目，能效低于基准水平的，要加快推动改造升级，在规定时限内（不超过</w:t>
      </w:r>
      <w:r>
        <w:rPr>
          <w:rFonts w:hint="eastAsia" w:ascii="仿宋_GB2312" w:hAnsi="仿宋_GB2312" w:eastAsia="仿宋_GB2312" w:cs="仿宋_GB2312"/>
          <w:color w:val="auto"/>
          <w:sz w:val="32"/>
          <w:szCs w:val="32"/>
          <w:highlight w:val="none"/>
          <w:lang w:val="en-US" w:eastAsia="zh-CN"/>
        </w:rPr>
        <w:t>3年</w:t>
      </w:r>
      <w:r>
        <w:rPr>
          <w:rFonts w:hint="eastAsia" w:ascii="仿宋_GB2312" w:hAnsi="仿宋_GB2312" w:eastAsia="仿宋_GB2312" w:cs="仿宋_GB2312"/>
          <w:color w:val="auto"/>
          <w:sz w:val="32"/>
          <w:szCs w:val="32"/>
          <w:highlight w:val="none"/>
          <w:lang w:eastAsia="zh-CN"/>
        </w:rPr>
        <w:t>）将能效改造升级到基准水平以上，力争达到标杆水平，对于不开展改造升级或不能按期改造完毕的项目进行淘汰</w:t>
      </w:r>
      <w:r>
        <w:rPr>
          <w:rFonts w:hint="eastAsia" w:ascii="仿宋_GB2312" w:hAnsi="仿宋_GB2312" w:eastAsia="仿宋_GB2312" w:cs="仿宋_GB2312"/>
          <w:color w:val="auto"/>
          <w:sz w:val="32"/>
          <w:szCs w:val="32"/>
          <w:highlight w:val="none"/>
        </w:rPr>
        <w:t>；能效处于标杆水平和基准水平之间的，要</w:t>
      </w:r>
      <w:r>
        <w:rPr>
          <w:rFonts w:hint="eastAsia" w:ascii="仿宋_GB2312" w:hAnsi="仿宋_GB2312" w:eastAsia="仿宋_GB2312" w:cs="仿宋_GB2312"/>
          <w:color w:val="auto"/>
          <w:sz w:val="32"/>
          <w:szCs w:val="32"/>
          <w:highlight w:val="none"/>
          <w:lang w:eastAsia="zh-CN"/>
        </w:rPr>
        <w:t>鼓励</w:t>
      </w:r>
      <w:r>
        <w:rPr>
          <w:rFonts w:hint="eastAsia" w:ascii="仿宋_GB2312" w:hAnsi="仿宋_GB2312" w:eastAsia="仿宋_GB2312" w:cs="仿宋_GB2312"/>
          <w:color w:val="auto"/>
          <w:sz w:val="32"/>
          <w:szCs w:val="32"/>
          <w:highlight w:val="none"/>
        </w:rPr>
        <w:t>引导</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开展升级改造，向标杆水平迈进。</w:t>
      </w:r>
      <w:r>
        <w:rPr>
          <w:rFonts w:hint="default" w:ascii="Times New Roman" w:hAnsi="Times New Roman" w:eastAsia="楷体_GB2312" w:cs="Times New Roman"/>
          <w:color w:val="auto"/>
          <w:sz w:val="32"/>
          <w:szCs w:val="32"/>
          <w:highlight w:val="none"/>
        </w:rPr>
        <w:t>（省发展改革委、省工信厅、省生态环境厅、省应急管理厅按职责分工负责）</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（三）有序实施技术改造项目</w:t>
      </w:r>
    </w:p>
    <w:p>
      <w:pPr>
        <w:widowControl w:val="0"/>
        <w:wordWrap/>
        <w:overflowPunct w:val="0"/>
        <w:adjustRightInd/>
        <w:snapToGrid/>
        <w:spacing w:line="240" w:lineRule="auto"/>
        <w:ind w:left="0" w:leftChars="0" w:right="0" w:firstLine="640" w:firstLineChars="200"/>
        <w:jc w:val="both"/>
        <w:textAlignment w:val="auto"/>
        <w:outlineLvl w:val="9"/>
        <w:rPr>
          <w:rFonts w:hint="default" w:ascii="Times New Roman" w:hAnsi="Times New Roman" w:cs="Times New Roman"/>
          <w:color w:val="auto"/>
          <w:highlight w:val="none"/>
          <w:lang w:eastAsia="zh-CN"/>
        </w:rPr>
      </w:pPr>
      <w:r>
        <w:rPr>
          <w:rFonts w:hint="eastAsia" w:ascii="仿宋_GB2312" w:hAnsi="仿宋_GB2312" w:eastAsia="仿宋_GB2312" w:cs="仿宋_GB2312"/>
          <w:color w:val="auto"/>
          <w:sz w:val="32"/>
          <w:szCs w:val="32"/>
          <w:highlight w:val="none"/>
          <w:lang w:eastAsia="zh-CN"/>
        </w:rPr>
        <w:t>各地要根据企业技术改造项目清单，结合本实施方案制定本地区重点领域节能降碳技术改造工作方案，认真组织企业分年度实施项目建设，指导企业落实好改造所需资金，加快技术改造进程；要跟踪掌握能效清单目录内企业新实施项目情况，及时补充完善</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lang w:eastAsia="zh-CN"/>
        </w:rPr>
        <w:t>技术改造项目清单。各地按照属地原则督促指导列入技术改造项目清单的企业根据本实施方案制定周密细致的具体技术改造工作方案，明确推进步骤、技术方案、资金渠道、时间节点、阶段目标、总体成效等具体落实措施。各地将本地区及相关企业技术改造工作方案于本实施方案印发后</w:t>
      </w:r>
      <w:r>
        <w:rPr>
          <w:rFonts w:hint="eastAsia" w:ascii="仿宋_GB2312" w:hAnsi="仿宋_GB2312" w:eastAsia="仿宋_GB2312" w:cs="仿宋_GB2312"/>
          <w:color w:val="auto"/>
          <w:sz w:val="32"/>
          <w:szCs w:val="32"/>
          <w:highlight w:val="none"/>
          <w:lang w:val="en-US" w:eastAsia="zh-CN"/>
        </w:rPr>
        <w:t>3个月内向省发展改革委、省工信厅报备</w:t>
      </w:r>
      <w:r>
        <w:rPr>
          <w:rFonts w:hint="default" w:ascii="仿宋_GB2312" w:hAnsi="仿宋_GB2312" w:eastAsia="仿宋_GB2312" w:cs="仿宋_GB2312"/>
          <w:color w:val="auto"/>
          <w:sz w:val="32"/>
          <w:szCs w:val="32"/>
          <w:highlight w:val="none"/>
          <w:lang w:eastAsia="zh-CN"/>
        </w:rPr>
        <w:t>，并做好项目</w:t>
      </w:r>
      <w:r>
        <w:rPr>
          <w:rFonts w:hint="eastAsia" w:ascii="仿宋_GB2312" w:hAnsi="仿宋_GB2312" w:eastAsia="仿宋_GB2312" w:cs="仿宋_GB2312"/>
          <w:color w:val="auto"/>
          <w:sz w:val="32"/>
          <w:szCs w:val="32"/>
          <w:highlight w:val="none"/>
          <w:lang w:eastAsia="zh-CN"/>
        </w:rPr>
        <w:t>跟踪调度</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掌握项目建设进度，</w:t>
      </w:r>
      <w:r>
        <w:rPr>
          <w:rFonts w:hint="default" w:ascii="仿宋_GB2312" w:hAnsi="仿宋_GB2312" w:eastAsia="仿宋_GB2312" w:cs="仿宋_GB2312"/>
          <w:color w:val="auto"/>
          <w:sz w:val="32"/>
          <w:szCs w:val="32"/>
          <w:highlight w:val="none"/>
          <w:lang w:eastAsia="zh-CN"/>
        </w:rPr>
        <w:t>对已完成技术改造的，由属地发展改革部门会同工信部门及时核实能效水平，按程序报送更新能效清单目录</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各地自2023年起，每年1月15日前，报送上年度技术改造项目完成情况；每年2月15日前，报送当年度拟实施技术改造</w:t>
      </w:r>
      <w:r>
        <w:rPr>
          <w:rFonts w:hint="eastAsia" w:ascii="仿宋_GB2312" w:hAnsi="仿宋_GB2312" w:eastAsia="仿宋_GB2312" w:cs="仿宋_GB2312"/>
          <w:color w:val="auto"/>
          <w:sz w:val="32"/>
          <w:szCs w:val="32"/>
          <w:highlight w:val="none"/>
          <w:lang w:eastAsia="zh-CN"/>
        </w:rPr>
        <w:t>项目</w:t>
      </w:r>
      <w:r>
        <w:rPr>
          <w:rFonts w:hint="default" w:ascii="仿宋_GB2312" w:hAnsi="仿宋_GB2312" w:eastAsia="仿宋_GB2312" w:cs="仿宋_GB2312"/>
          <w:color w:val="auto"/>
          <w:sz w:val="32"/>
          <w:szCs w:val="32"/>
          <w:highlight w:val="none"/>
          <w:lang w:eastAsia="zh-CN"/>
        </w:rPr>
        <w:t>核实更新情况。</w:t>
      </w:r>
      <w:r>
        <w:rPr>
          <w:rFonts w:hint="default" w:ascii="Times New Roman" w:hAnsi="Times New Roman" w:eastAsia="楷体_GB2312" w:cs="Times New Roman"/>
          <w:color w:val="auto"/>
          <w:sz w:val="32"/>
          <w:szCs w:val="32"/>
          <w:highlight w:val="none"/>
        </w:rPr>
        <w:t>（省发展改革委、省工信厅按职责分工负责）</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vAlign w:val="top"/>
          </w:tcPr>
          <w:p>
            <w:pPr>
              <w:widowControl w:val="0"/>
              <w:wordWrap/>
              <w:adjustRightInd/>
              <w:snapToGrid/>
              <w:spacing w:before="0" w:beforeAutospacing="0" w:after="0" w:afterAutospacing="0" w:line="240" w:lineRule="auto"/>
              <w:ind w:left="0" w:leftChars="0" w:right="0"/>
              <w:jc w:val="center"/>
              <w:textAlignment w:val="auto"/>
              <w:outlineLvl w:val="9"/>
              <w:rPr>
                <w:rFonts w:hint="default" w:ascii="Times New Roman" w:hAnsi="Times New Roman" w:eastAsia="仿宋" w:cs="Times New Roman"/>
                <w:color w:val="auto"/>
                <w:sz w:val="28"/>
                <w:szCs w:val="28"/>
                <w:lang w:eastAsia="zh-CN"/>
              </w:rPr>
            </w:pPr>
            <w:r>
              <w:rPr>
                <w:rFonts w:hint="default" w:ascii="楷体_GB2312" w:hAnsi="楷体_GB2312" w:eastAsia="楷体_GB2312" w:cs="楷体_GB2312"/>
                <w:color w:val="auto"/>
                <w:sz w:val="28"/>
                <w:szCs w:val="28"/>
                <w:lang w:eastAsia="zh-CN"/>
              </w:rPr>
              <w:t xml:space="preserve">专栏一  </w:t>
            </w:r>
            <w:r>
              <w:rPr>
                <w:rFonts w:hint="eastAsia" w:ascii="楷体_GB2312" w:hAnsi="楷体_GB2312" w:eastAsia="楷体_GB2312" w:cs="楷体_GB2312"/>
                <w:color w:val="auto"/>
                <w:sz w:val="28"/>
                <w:szCs w:val="28"/>
                <w:lang w:val="en-US" w:eastAsia="zh-CN"/>
              </w:rPr>
              <w:t>石化</w:t>
            </w:r>
            <w:r>
              <w:rPr>
                <w:rFonts w:hint="default" w:ascii="楷体_GB2312" w:hAnsi="楷体_GB2312" w:eastAsia="楷体_GB2312" w:cs="楷体_GB2312"/>
                <w:color w:val="auto"/>
                <w:sz w:val="28"/>
                <w:szCs w:val="28"/>
                <w:lang w:val="en-US" w:eastAsia="zh-CN"/>
              </w:rPr>
              <w:t>化工</w:t>
            </w:r>
            <w:r>
              <w:rPr>
                <w:rFonts w:hint="default" w:ascii="楷体_GB2312" w:hAnsi="楷体_GB2312" w:eastAsia="楷体_GB2312" w:cs="楷体_GB2312"/>
                <w:color w:val="auto"/>
                <w:sz w:val="28"/>
                <w:szCs w:val="28"/>
                <w:lang w:eastAsia="zh-CN"/>
              </w:rPr>
              <w:t>领域重点领域企业改造清单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7" w:hRule="atLeast"/>
        </w:trPr>
        <w:tc>
          <w:tcPr>
            <w:tcW w:w="9180" w:type="dxa"/>
            <w:vAlign w:val="top"/>
          </w:tcPr>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黑体" w:hAnsi="黑体" w:eastAsia="黑体" w:cs="黑体"/>
                <w:b w:val="0"/>
                <w:bCs w:val="0"/>
                <w:i w:val="0"/>
                <w:iCs w:val="0"/>
                <w:color w:val="auto"/>
                <w:sz w:val="24"/>
                <w:szCs w:val="24"/>
                <w:highlight w:val="none"/>
                <w:lang w:eastAsia="zh-CN"/>
              </w:rPr>
            </w:pPr>
            <w:r>
              <w:rPr>
                <w:rFonts w:hint="default" w:ascii="黑体" w:hAnsi="黑体" w:eastAsia="黑体" w:cs="黑体"/>
                <w:b w:val="0"/>
                <w:bCs w:val="0"/>
                <w:i w:val="0"/>
                <w:iCs w:val="0"/>
                <w:color w:val="auto"/>
                <w:sz w:val="24"/>
                <w:szCs w:val="24"/>
                <w:highlight w:val="none"/>
                <w:lang w:eastAsia="zh-CN"/>
              </w:rPr>
              <w:t>2022年</w:t>
            </w:r>
            <w:r>
              <w:rPr>
                <w:rFonts w:hint="default" w:ascii="黑体" w:hAnsi="黑体" w:eastAsia="黑体" w:cs="黑体"/>
                <w:b w:val="0"/>
                <w:bCs w:val="0"/>
                <w:i w:val="0"/>
                <w:iCs w:val="0"/>
                <w:color w:val="auto"/>
                <w:sz w:val="24"/>
                <w:szCs w:val="24"/>
                <w:highlight w:val="none"/>
                <w:lang w:val="en-US" w:eastAsia="zh-CN"/>
              </w:rPr>
              <w:t>底</w:t>
            </w:r>
            <w:r>
              <w:rPr>
                <w:rFonts w:hint="default" w:ascii="黑体" w:hAnsi="黑体" w:eastAsia="黑体" w:cs="黑体"/>
                <w:b w:val="0"/>
                <w:bCs w:val="0"/>
                <w:i w:val="0"/>
                <w:iCs w:val="0"/>
                <w:color w:val="auto"/>
                <w:sz w:val="24"/>
                <w:szCs w:val="24"/>
                <w:highlight w:val="none"/>
                <w:lang w:eastAsia="zh-CN"/>
              </w:rPr>
              <w:t>实施改造</w:t>
            </w:r>
            <w:r>
              <w:rPr>
                <w:rFonts w:hint="default" w:ascii="黑体" w:hAnsi="黑体" w:eastAsia="黑体" w:cs="黑体"/>
                <w:b w:val="0"/>
                <w:bCs w:val="0"/>
                <w:i w:val="0"/>
                <w:iCs w:val="0"/>
                <w:color w:val="auto"/>
                <w:sz w:val="24"/>
                <w:szCs w:val="24"/>
                <w:highlight w:val="none"/>
                <w:lang w:val="en-US" w:eastAsia="zh-CN"/>
              </w:rPr>
              <w:t>完成</w:t>
            </w:r>
            <w:r>
              <w:rPr>
                <w:rFonts w:hint="default" w:ascii="黑体" w:hAnsi="黑体" w:eastAsia="黑体" w:cs="黑体"/>
                <w:b w:val="0"/>
                <w:bCs w:val="0"/>
                <w:i w:val="0"/>
                <w:iCs w:val="0"/>
                <w:color w:val="auto"/>
                <w:sz w:val="24"/>
                <w:szCs w:val="24"/>
                <w:highlight w:val="none"/>
                <w:lang w:eastAsia="zh-CN"/>
              </w:rPr>
              <w:t>项目</w:t>
            </w:r>
            <w:r>
              <w:rPr>
                <w:rFonts w:hint="default" w:ascii="黑体" w:hAnsi="黑体" w:eastAsia="黑体" w:cs="黑体"/>
                <w:b w:val="0"/>
                <w:bCs w:val="0"/>
                <w:i w:val="0"/>
                <w:iCs w:val="0"/>
                <w:color w:val="auto"/>
                <w:sz w:val="24"/>
                <w:szCs w:val="24"/>
                <w:highlight w:val="none"/>
                <w:lang w:val="en-US" w:eastAsia="zh-CN"/>
              </w:rPr>
              <w:t>1</w:t>
            </w:r>
            <w:r>
              <w:rPr>
                <w:rFonts w:hint="default" w:ascii="黑体" w:hAnsi="黑体" w:eastAsia="黑体" w:cs="黑体"/>
                <w:b w:val="0"/>
                <w:bCs w:val="0"/>
                <w:i w:val="0"/>
                <w:iCs w:val="0"/>
                <w:color w:val="auto"/>
                <w:sz w:val="24"/>
                <w:szCs w:val="24"/>
                <w:highlight w:val="none"/>
                <w:lang w:eastAsia="zh-CN"/>
              </w:rPr>
              <w:t>个：</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default"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1.中国石油</w:t>
            </w:r>
            <w:r>
              <w:rPr>
                <w:rFonts w:hint="default" w:ascii="楷体_GB2312" w:hAnsi="楷体_GB2312" w:eastAsia="楷体_GB2312" w:cs="楷体_GB2312"/>
                <w:color w:val="auto"/>
                <w:sz w:val="24"/>
                <w:szCs w:val="24"/>
                <w:highlight w:val="none"/>
                <w:lang w:val="en-US" w:eastAsia="zh-CN"/>
              </w:rPr>
              <w:t>庆阳石化公司常压、重整装置高效加热炉节能改造</w:t>
            </w:r>
            <w:r>
              <w:rPr>
                <w:rFonts w:hint="eastAsia" w:ascii="楷体_GB2312" w:hAnsi="楷体_GB2312" w:eastAsia="楷体_GB2312" w:cs="楷体_GB2312"/>
                <w:color w:val="auto"/>
                <w:sz w:val="24"/>
                <w:szCs w:val="24"/>
                <w:highlight w:val="none"/>
                <w:lang w:val="en-US" w:eastAsia="zh-CN"/>
              </w:rPr>
              <w:t>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黑体" w:hAnsi="黑体" w:eastAsia="黑体" w:cs="黑体"/>
                <w:b w:val="0"/>
                <w:bCs w:val="0"/>
                <w:i w:val="0"/>
                <w:iCs w:val="0"/>
                <w:color w:val="auto"/>
                <w:sz w:val="24"/>
                <w:szCs w:val="24"/>
                <w:highlight w:val="none"/>
                <w:lang w:eastAsia="zh-CN"/>
              </w:rPr>
            </w:pPr>
            <w:r>
              <w:rPr>
                <w:rFonts w:hint="default" w:ascii="黑体" w:hAnsi="黑体" w:eastAsia="黑体" w:cs="黑体"/>
                <w:b w:val="0"/>
                <w:bCs w:val="0"/>
                <w:i w:val="0"/>
                <w:iCs w:val="0"/>
                <w:color w:val="auto"/>
                <w:sz w:val="24"/>
                <w:szCs w:val="24"/>
                <w:highlight w:val="none"/>
                <w:lang w:eastAsia="zh-CN"/>
              </w:rPr>
              <w:t>2023年</w:t>
            </w:r>
            <w:r>
              <w:rPr>
                <w:rFonts w:hint="default" w:ascii="黑体" w:hAnsi="黑体" w:eastAsia="黑体" w:cs="黑体"/>
                <w:b w:val="0"/>
                <w:bCs w:val="0"/>
                <w:i w:val="0"/>
                <w:iCs w:val="0"/>
                <w:color w:val="auto"/>
                <w:sz w:val="24"/>
                <w:szCs w:val="24"/>
                <w:highlight w:val="none"/>
                <w:lang w:val="en-US" w:eastAsia="zh-CN"/>
              </w:rPr>
              <w:t>底</w:t>
            </w:r>
            <w:r>
              <w:rPr>
                <w:rFonts w:hint="default" w:ascii="黑体" w:hAnsi="黑体" w:eastAsia="黑体" w:cs="黑体"/>
                <w:b w:val="0"/>
                <w:bCs w:val="0"/>
                <w:i w:val="0"/>
                <w:iCs w:val="0"/>
                <w:color w:val="auto"/>
                <w:sz w:val="24"/>
                <w:szCs w:val="24"/>
                <w:highlight w:val="none"/>
                <w:lang w:eastAsia="zh-CN"/>
              </w:rPr>
              <w:t>实施改造</w:t>
            </w:r>
            <w:r>
              <w:rPr>
                <w:rFonts w:hint="default" w:ascii="黑体" w:hAnsi="黑体" w:eastAsia="黑体" w:cs="黑体"/>
                <w:b w:val="0"/>
                <w:bCs w:val="0"/>
                <w:i w:val="0"/>
                <w:iCs w:val="0"/>
                <w:color w:val="auto"/>
                <w:sz w:val="24"/>
                <w:szCs w:val="24"/>
                <w:highlight w:val="none"/>
                <w:lang w:val="en-US" w:eastAsia="zh-CN"/>
              </w:rPr>
              <w:t>完成</w:t>
            </w:r>
            <w:r>
              <w:rPr>
                <w:rFonts w:hint="default" w:ascii="黑体" w:hAnsi="黑体" w:eastAsia="黑体" w:cs="黑体"/>
                <w:b w:val="0"/>
                <w:bCs w:val="0"/>
                <w:i w:val="0"/>
                <w:iCs w:val="0"/>
                <w:color w:val="auto"/>
                <w:sz w:val="24"/>
                <w:szCs w:val="24"/>
                <w:highlight w:val="none"/>
                <w:lang w:eastAsia="zh-CN"/>
              </w:rPr>
              <w:t>项目</w:t>
            </w:r>
            <w:r>
              <w:rPr>
                <w:rFonts w:hint="eastAsia" w:ascii="黑体" w:hAnsi="黑体" w:eastAsia="黑体" w:cs="黑体"/>
                <w:b w:val="0"/>
                <w:bCs w:val="0"/>
                <w:i w:val="0"/>
                <w:iCs w:val="0"/>
                <w:color w:val="auto"/>
                <w:sz w:val="24"/>
                <w:szCs w:val="24"/>
                <w:highlight w:val="none"/>
                <w:lang w:val="en-US" w:eastAsia="zh-CN"/>
              </w:rPr>
              <w:t>3</w:t>
            </w:r>
            <w:r>
              <w:rPr>
                <w:rFonts w:hint="default" w:ascii="黑体" w:hAnsi="黑体" w:eastAsia="黑体" w:cs="黑体"/>
                <w:b w:val="0"/>
                <w:bCs w:val="0"/>
                <w:i w:val="0"/>
                <w:iCs w:val="0"/>
                <w:color w:val="auto"/>
                <w:sz w:val="24"/>
                <w:szCs w:val="24"/>
                <w:highlight w:val="none"/>
                <w:lang w:eastAsia="zh-CN"/>
              </w:rPr>
              <w:t>个：</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default"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1</w:t>
            </w:r>
            <w:r>
              <w:rPr>
                <w:rFonts w:hint="default" w:ascii="楷体_GB2312" w:hAnsi="楷体_GB2312" w:eastAsia="楷体_GB2312" w:cs="楷体_GB2312"/>
                <w:color w:val="auto"/>
                <w:sz w:val="24"/>
                <w:szCs w:val="24"/>
                <w:highlight w:val="none"/>
                <w:lang w:val="en-US" w:eastAsia="zh-CN"/>
              </w:rPr>
              <w:t>.</w:t>
            </w:r>
            <w:r>
              <w:rPr>
                <w:rFonts w:hint="eastAsia" w:ascii="楷体_GB2312" w:hAnsi="楷体_GB2312" w:eastAsia="楷体_GB2312" w:cs="楷体_GB2312"/>
                <w:color w:val="auto"/>
                <w:sz w:val="24"/>
                <w:szCs w:val="24"/>
                <w:highlight w:val="none"/>
                <w:lang w:val="en-US" w:eastAsia="zh-CN"/>
              </w:rPr>
              <w:t>中国石油</w:t>
            </w:r>
            <w:r>
              <w:rPr>
                <w:rFonts w:hint="default" w:ascii="楷体_GB2312" w:hAnsi="楷体_GB2312" w:eastAsia="楷体_GB2312" w:cs="楷体_GB2312"/>
                <w:color w:val="auto"/>
                <w:sz w:val="24"/>
                <w:szCs w:val="24"/>
                <w:highlight w:val="none"/>
                <w:lang w:val="en-US" w:eastAsia="zh-CN"/>
              </w:rPr>
              <w:t>兰州石化公司炼油系统节能技术优化</w:t>
            </w:r>
            <w:r>
              <w:rPr>
                <w:rFonts w:hint="eastAsia" w:ascii="楷体_GB2312" w:hAnsi="楷体_GB2312" w:eastAsia="楷体_GB2312" w:cs="楷体_GB2312"/>
                <w:color w:val="auto"/>
                <w:sz w:val="24"/>
                <w:szCs w:val="24"/>
                <w:highlight w:val="none"/>
                <w:lang w:val="en-US" w:eastAsia="zh-CN"/>
              </w:rPr>
              <w:t>改造</w:t>
            </w:r>
            <w:r>
              <w:rPr>
                <w:rFonts w:hint="default" w:ascii="楷体_GB2312" w:hAnsi="楷体_GB2312" w:eastAsia="楷体_GB2312" w:cs="楷体_GB2312"/>
                <w:color w:val="auto"/>
                <w:sz w:val="24"/>
                <w:szCs w:val="24"/>
                <w:highlight w:val="none"/>
                <w:lang w:val="en-US" w:eastAsia="zh-CN"/>
              </w:rPr>
              <w:t>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default"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2.中国石油</w:t>
            </w:r>
            <w:r>
              <w:rPr>
                <w:rFonts w:hint="default" w:ascii="楷体_GB2312" w:hAnsi="楷体_GB2312" w:eastAsia="楷体_GB2312" w:cs="楷体_GB2312"/>
                <w:color w:val="auto"/>
                <w:sz w:val="24"/>
                <w:szCs w:val="24"/>
                <w:highlight w:val="none"/>
                <w:lang w:val="en-US" w:eastAsia="zh-CN"/>
              </w:rPr>
              <w:t>兰州石化公司46万吨</w:t>
            </w:r>
            <w:r>
              <w:rPr>
                <w:rFonts w:hint="eastAsia" w:ascii="楷体_GB2312" w:hAnsi="楷体_GB2312" w:eastAsia="楷体_GB2312" w:cs="楷体_GB2312"/>
                <w:color w:val="auto"/>
                <w:sz w:val="24"/>
                <w:szCs w:val="24"/>
                <w:highlight w:val="none"/>
                <w:lang w:val="en-US" w:eastAsia="zh-CN"/>
              </w:rPr>
              <w:t>/年</w:t>
            </w:r>
            <w:r>
              <w:rPr>
                <w:rFonts w:hint="default" w:ascii="楷体_GB2312" w:hAnsi="楷体_GB2312" w:eastAsia="楷体_GB2312" w:cs="楷体_GB2312"/>
                <w:color w:val="auto"/>
                <w:sz w:val="24"/>
                <w:szCs w:val="24"/>
                <w:highlight w:val="none"/>
                <w:lang w:val="en-US" w:eastAsia="zh-CN"/>
              </w:rPr>
              <w:t>乙烯装置优化调整改造项目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default"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3.</w:t>
            </w:r>
            <w:r>
              <w:rPr>
                <w:rFonts w:hint="default" w:ascii="楷体_GB2312" w:hAnsi="楷体_GB2312" w:eastAsia="楷体_GB2312" w:cs="楷体_GB2312"/>
                <w:color w:val="auto"/>
                <w:sz w:val="24"/>
                <w:szCs w:val="24"/>
                <w:highlight w:val="none"/>
                <w:lang w:val="en-US" w:eastAsia="zh-CN"/>
              </w:rPr>
              <w:t>金昌氨碱源化工有限公司技术改造项目</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黑体" w:hAnsi="黑体" w:eastAsia="黑体" w:cs="黑体"/>
                <w:b w:val="0"/>
                <w:bCs w:val="0"/>
                <w:i w:val="0"/>
                <w:iCs w:val="0"/>
                <w:color w:val="auto"/>
                <w:sz w:val="24"/>
                <w:szCs w:val="24"/>
                <w:highlight w:val="none"/>
                <w:lang w:eastAsia="zh-CN"/>
              </w:rPr>
            </w:pPr>
            <w:r>
              <w:rPr>
                <w:rFonts w:hint="default" w:ascii="黑体" w:hAnsi="黑体" w:eastAsia="黑体" w:cs="黑体"/>
                <w:b w:val="0"/>
                <w:bCs w:val="0"/>
                <w:i w:val="0"/>
                <w:iCs w:val="0"/>
                <w:color w:val="auto"/>
                <w:sz w:val="24"/>
                <w:szCs w:val="24"/>
                <w:highlight w:val="none"/>
                <w:lang w:eastAsia="zh-CN"/>
              </w:rPr>
              <w:t>202</w:t>
            </w:r>
            <w:r>
              <w:rPr>
                <w:rFonts w:hint="default" w:ascii="黑体" w:hAnsi="黑体" w:eastAsia="黑体" w:cs="黑体"/>
                <w:b w:val="0"/>
                <w:bCs w:val="0"/>
                <w:i w:val="0"/>
                <w:iCs w:val="0"/>
                <w:color w:val="auto"/>
                <w:sz w:val="24"/>
                <w:szCs w:val="24"/>
                <w:highlight w:val="none"/>
                <w:lang w:val="en-US" w:eastAsia="zh-CN"/>
              </w:rPr>
              <w:t>5</w:t>
            </w:r>
            <w:r>
              <w:rPr>
                <w:rFonts w:hint="default" w:ascii="黑体" w:hAnsi="黑体" w:eastAsia="黑体" w:cs="黑体"/>
                <w:b w:val="0"/>
                <w:bCs w:val="0"/>
                <w:i w:val="0"/>
                <w:iCs w:val="0"/>
                <w:color w:val="auto"/>
                <w:sz w:val="24"/>
                <w:szCs w:val="24"/>
                <w:highlight w:val="none"/>
                <w:lang w:eastAsia="zh-CN"/>
              </w:rPr>
              <w:t>年</w:t>
            </w:r>
            <w:r>
              <w:rPr>
                <w:rFonts w:hint="default" w:ascii="黑体" w:hAnsi="黑体" w:eastAsia="黑体" w:cs="黑体"/>
                <w:b w:val="0"/>
                <w:bCs w:val="0"/>
                <w:i w:val="0"/>
                <w:iCs w:val="0"/>
                <w:color w:val="auto"/>
                <w:sz w:val="24"/>
                <w:szCs w:val="24"/>
                <w:highlight w:val="none"/>
                <w:lang w:val="en-US" w:eastAsia="zh-CN"/>
              </w:rPr>
              <w:t>底</w:t>
            </w:r>
            <w:r>
              <w:rPr>
                <w:rFonts w:hint="default" w:ascii="黑体" w:hAnsi="黑体" w:eastAsia="黑体" w:cs="黑体"/>
                <w:b w:val="0"/>
                <w:bCs w:val="0"/>
                <w:i w:val="0"/>
                <w:iCs w:val="0"/>
                <w:color w:val="auto"/>
                <w:sz w:val="24"/>
                <w:szCs w:val="24"/>
                <w:highlight w:val="none"/>
                <w:lang w:eastAsia="zh-CN"/>
              </w:rPr>
              <w:t>实施改造</w:t>
            </w:r>
            <w:r>
              <w:rPr>
                <w:rFonts w:hint="default" w:ascii="黑体" w:hAnsi="黑体" w:eastAsia="黑体" w:cs="黑体"/>
                <w:b w:val="0"/>
                <w:bCs w:val="0"/>
                <w:i w:val="0"/>
                <w:iCs w:val="0"/>
                <w:color w:val="auto"/>
                <w:sz w:val="24"/>
                <w:szCs w:val="24"/>
                <w:highlight w:val="none"/>
                <w:lang w:val="en-US" w:eastAsia="zh-CN"/>
              </w:rPr>
              <w:t>完成</w:t>
            </w:r>
            <w:r>
              <w:rPr>
                <w:rFonts w:hint="default" w:ascii="黑体" w:hAnsi="黑体" w:eastAsia="黑体" w:cs="黑体"/>
                <w:b w:val="0"/>
                <w:bCs w:val="0"/>
                <w:i w:val="0"/>
                <w:iCs w:val="0"/>
                <w:color w:val="auto"/>
                <w:sz w:val="24"/>
                <w:szCs w:val="24"/>
                <w:highlight w:val="none"/>
                <w:lang w:eastAsia="zh-CN"/>
              </w:rPr>
              <w:t>项目</w:t>
            </w:r>
            <w:r>
              <w:rPr>
                <w:rFonts w:hint="eastAsia" w:ascii="黑体" w:hAnsi="黑体" w:eastAsia="黑体" w:cs="黑体"/>
                <w:b w:val="0"/>
                <w:bCs w:val="0"/>
                <w:i w:val="0"/>
                <w:iCs w:val="0"/>
                <w:color w:val="auto"/>
                <w:sz w:val="24"/>
                <w:szCs w:val="24"/>
                <w:highlight w:val="none"/>
                <w:lang w:val="en-US" w:eastAsia="zh-CN"/>
              </w:rPr>
              <w:t>7</w:t>
            </w:r>
            <w:r>
              <w:rPr>
                <w:rFonts w:hint="default" w:ascii="黑体" w:hAnsi="黑体" w:eastAsia="黑体" w:cs="黑体"/>
                <w:b w:val="0"/>
                <w:bCs w:val="0"/>
                <w:i w:val="0"/>
                <w:iCs w:val="0"/>
                <w:color w:val="auto"/>
                <w:sz w:val="24"/>
                <w:szCs w:val="24"/>
                <w:highlight w:val="none"/>
                <w:lang w:eastAsia="zh-CN"/>
              </w:rPr>
              <w:t>个：</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default" w:ascii="黑体" w:hAnsi="黑体" w:eastAsia="黑体" w:cs="黑体"/>
                <w:b w:val="0"/>
                <w:bCs w:val="0"/>
                <w:i w:val="0"/>
                <w:iCs w:val="0"/>
                <w:color w:val="auto"/>
                <w:sz w:val="24"/>
                <w:szCs w:val="24"/>
                <w:highlight w:val="none"/>
                <w:lang w:eastAsia="zh-CN"/>
              </w:rPr>
            </w:pPr>
            <w:r>
              <w:rPr>
                <w:rFonts w:hint="eastAsia" w:ascii="楷体_GB2312" w:hAnsi="楷体_GB2312" w:eastAsia="楷体_GB2312" w:cs="楷体_GB2312"/>
                <w:color w:val="auto"/>
                <w:sz w:val="24"/>
                <w:szCs w:val="24"/>
                <w:highlight w:val="none"/>
                <w:lang w:val="en-US" w:eastAsia="zh-CN"/>
              </w:rPr>
              <w:t>1</w:t>
            </w:r>
            <w:r>
              <w:rPr>
                <w:rFonts w:hint="default" w:ascii="楷体_GB2312" w:hAnsi="楷体_GB2312" w:eastAsia="楷体_GB2312" w:cs="楷体_GB2312"/>
                <w:color w:val="auto"/>
                <w:sz w:val="24"/>
                <w:szCs w:val="24"/>
                <w:highlight w:val="none"/>
                <w:lang w:val="en-US" w:eastAsia="zh-CN"/>
              </w:rPr>
              <w:t>.酒泉市浩海煤化有限公司干熄焦余热发电项目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default"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2.</w:t>
            </w:r>
            <w:r>
              <w:rPr>
                <w:rFonts w:hint="default" w:ascii="楷体_GB2312" w:hAnsi="楷体_GB2312" w:eastAsia="楷体_GB2312" w:cs="楷体_GB2312"/>
                <w:color w:val="auto"/>
                <w:sz w:val="24"/>
                <w:szCs w:val="24"/>
                <w:highlight w:val="none"/>
                <w:lang w:val="en-US" w:eastAsia="zh-CN"/>
              </w:rPr>
              <w:t>甘肃酒钢集团宏兴钢铁股份有限公司焦化厂3#4#焦炉技术改造项目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default"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3</w:t>
            </w:r>
            <w:r>
              <w:rPr>
                <w:rFonts w:hint="default" w:ascii="楷体_GB2312" w:hAnsi="楷体_GB2312" w:eastAsia="楷体_GB2312" w:cs="楷体_GB2312"/>
                <w:color w:val="auto"/>
                <w:sz w:val="24"/>
                <w:szCs w:val="24"/>
                <w:highlight w:val="none"/>
                <w:lang w:val="en-US" w:eastAsia="zh-CN"/>
              </w:rPr>
              <w:t>.内蒙古太西煤集团金昌鑫华焦化</w:t>
            </w:r>
            <w:r>
              <w:rPr>
                <w:rFonts w:hint="eastAsia" w:ascii="楷体_GB2312" w:hAnsi="楷体_GB2312" w:eastAsia="楷体_GB2312" w:cs="楷体_GB2312"/>
                <w:color w:val="auto"/>
                <w:sz w:val="24"/>
                <w:szCs w:val="24"/>
                <w:highlight w:val="none"/>
                <w:lang w:val="en-US" w:eastAsia="zh-CN"/>
              </w:rPr>
              <w:t>有限责任</w:t>
            </w:r>
            <w:r>
              <w:rPr>
                <w:rFonts w:hint="default" w:ascii="楷体_GB2312" w:hAnsi="楷体_GB2312" w:eastAsia="楷体_GB2312" w:cs="楷体_GB2312"/>
                <w:color w:val="auto"/>
                <w:sz w:val="24"/>
                <w:szCs w:val="24"/>
                <w:highlight w:val="none"/>
                <w:lang w:val="en-US" w:eastAsia="zh-CN"/>
              </w:rPr>
              <w:t>公司干法熄焦技术改造项目</w:t>
            </w:r>
          </w:p>
          <w:p>
            <w:pPr>
              <w:widowControl w:val="0"/>
              <w:numPr>
                <w:ilvl w:val="0"/>
                <w:numId w:val="0"/>
              </w:numPr>
              <w:wordWrap/>
              <w:adjustRightInd/>
              <w:snapToGrid/>
              <w:spacing w:before="0" w:beforeAutospacing="0" w:after="0" w:afterAutospacing="0" w:line="500" w:lineRule="exact"/>
              <w:ind w:left="0" w:right="0"/>
              <w:jc w:val="both"/>
              <w:textAlignment w:val="auto"/>
              <w:outlineLvl w:val="9"/>
              <w:rPr>
                <w:rFonts w:hint="default"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4</w:t>
            </w:r>
            <w:r>
              <w:rPr>
                <w:rFonts w:hint="default" w:ascii="楷体_GB2312" w:hAnsi="楷体_GB2312" w:eastAsia="楷体_GB2312" w:cs="楷体_GB2312"/>
                <w:color w:val="auto"/>
                <w:sz w:val="24"/>
                <w:szCs w:val="24"/>
                <w:highlight w:val="none"/>
                <w:lang w:val="en-US" w:eastAsia="zh-CN"/>
              </w:rPr>
              <w:t>.</w:t>
            </w:r>
            <w:r>
              <w:rPr>
                <w:rFonts w:hint="eastAsia" w:ascii="楷体_GB2312" w:hAnsi="楷体_GB2312" w:eastAsia="楷体_GB2312" w:cs="楷体_GB2312"/>
                <w:color w:val="auto"/>
                <w:sz w:val="24"/>
                <w:szCs w:val="24"/>
                <w:highlight w:val="none"/>
                <w:lang w:val="en-US" w:eastAsia="zh-CN"/>
              </w:rPr>
              <w:t>酒泉三七启欣煤化工有限公司（原</w:t>
            </w:r>
            <w:r>
              <w:rPr>
                <w:rFonts w:hint="default" w:ascii="楷体_GB2312" w:hAnsi="楷体_GB2312" w:eastAsia="楷体_GB2312" w:cs="楷体_GB2312"/>
                <w:color w:val="auto"/>
                <w:sz w:val="24"/>
                <w:szCs w:val="24"/>
                <w:highlight w:val="none"/>
                <w:lang w:val="en-US" w:eastAsia="zh-CN"/>
              </w:rPr>
              <w:t>酒泉市金源矿业有限公司</w:t>
            </w:r>
            <w:r>
              <w:rPr>
                <w:rFonts w:hint="eastAsia" w:ascii="楷体_GB2312" w:hAnsi="楷体_GB2312" w:eastAsia="楷体_GB2312" w:cs="楷体_GB2312"/>
                <w:color w:val="auto"/>
                <w:sz w:val="24"/>
                <w:szCs w:val="24"/>
                <w:highlight w:val="none"/>
                <w:lang w:val="en-US" w:eastAsia="zh-CN"/>
              </w:rPr>
              <w:t>）</w:t>
            </w:r>
            <w:r>
              <w:rPr>
                <w:rFonts w:hint="default" w:ascii="楷体_GB2312" w:hAnsi="楷体_GB2312" w:eastAsia="楷体_GB2312" w:cs="楷体_GB2312"/>
                <w:color w:val="auto"/>
                <w:sz w:val="24"/>
                <w:szCs w:val="24"/>
                <w:highlight w:val="none"/>
                <w:lang w:val="en-US" w:eastAsia="zh-CN"/>
              </w:rPr>
              <w:t>100万吨</w:t>
            </w:r>
            <w:r>
              <w:rPr>
                <w:rFonts w:hint="eastAsia" w:ascii="楷体_GB2312" w:hAnsi="楷体_GB2312" w:eastAsia="楷体_GB2312" w:cs="楷体_GB2312"/>
                <w:color w:val="auto"/>
                <w:sz w:val="24"/>
                <w:szCs w:val="24"/>
                <w:highlight w:val="none"/>
                <w:lang w:val="en-US" w:eastAsia="zh-CN"/>
              </w:rPr>
              <w:t>/年</w:t>
            </w:r>
            <w:r>
              <w:rPr>
                <w:rFonts w:hint="default" w:ascii="楷体_GB2312" w:hAnsi="楷体_GB2312" w:eastAsia="楷体_GB2312" w:cs="楷体_GB2312"/>
                <w:color w:val="auto"/>
                <w:sz w:val="24"/>
                <w:szCs w:val="24"/>
                <w:highlight w:val="none"/>
                <w:lang w:val="en-US" w:eastAsia="zh-CN"/>
              </w:rPr>
              <w:t>焦炭项目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default"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5.</w:t>
            </w:r>
            <w:r>
              <w:rPr>
                <w:rFonts w:hint="default" w:ascii="楷体_GB2312" w:hAnsi="楷体_GB2312" w:eastAsia="楷体_GB2312" w:cs="楷体_GB2312"/>
                <w:color w:val="auto"/>
                <w:sz w:val="24"/>
                <w:szCs w:val="24"/>
                <w:highlight w:val="none"/>
                <w:lang w:val="en-US" w:eastAsia="zh-CN"/>
              </w:rPr>
              <w:t>甘肃海鑫电石有限责任公司</w:t>
            </w:r>
            <w:r>
              <w:rPr>
                <w:rFonts w:hint="eastAsia" w:ascii="楷体_GB2312" w:hAnsi="楷体_GB2312" w:eastAsia="楷体_GB2312" w:cs="楷体_GB2312"/>
                <w:color w:val="auto"/>
                <w:sz w:val="24"/>
                <w:szCs w:val="24"/>
                <w:highlight w:val="none"/>
                <w:lang w:val="en-US" w:eastAsia="zh-CN"/>
              </w:rPr>
              <w:t>电石系统</w:t>
            </w:r>
            <w:r>
              <w:rPr>
                <w:rFonts w:hint="default" w:ascii="楷体_GB2312" w:hAnsi="楷体_GB2312" w:eastAsia="楷体_GB2312" w:cs="楷体_GB2312"/>
                <w:color w:val="auto"/>
                <w:sz w:val="24"/>
                <w:szCs w:val="24"/>
                <w:highlight w:val="none"/>
                <w:lang w:val="en-US" w:eastAsia="zh-CN"/>
              </w:rPr>
              <w:t>节能技术</w:t>
            </w:r>
            <w:r>
              <w:rPr>
                <w:rFonts w:hint="eastAsia" w:ascii="楷体_GB2312" w:hAnsi="楷体_GB2312" w:eastAsia="楷体_GB2312" w:cs="楷体_GB2312"/>
                <w:color w:val="auto"/>
                <w:sz w:val="24"/>
                <w:szCs w:val="24"/>
                <w:highlight w:val="none"/>
                <w:lang w:val="en-US" w:eastAsia="zh-CN"/>
              </w:rPr>
              <w:t>优化</w:t>
            </w:r>
            <w:r>
              <w:rPr>
                <w:rFonts w:hint="default" w:ascii="楷体_GB2312" w:hAnsi="楷体_GB2312" w:eastAsia="楷体_GB2312" w:cs="楷体_GB2312"/>
                <w:color w:val="auto"/>
                <w:sz w:val="24"/>
                <w:szCs w:val="24"/>
                <w:highlight w:val="none"/>
                <w:lang w:val="en-US" w:eastAsia="zh-CN"/>
              </w:rPr>
              <w:t>改造项目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default" w:ascii="楷体_GB2312" w:hAnsi="楷体_GB2312" w:eastAsia="楷体_GB2312" w:cs="楷体_GB2312"/>
                <w:color w:val="auto"/>
                <w:sz w:val="24"/>
                <w:szCs w:val="24"/>
                <w:highlight w:val="none"/>
                <w:lang w:val="en-US" w:eastAsia="zh-CN"/>
              </w:rPr>
            </w:pPr>
            <w:r>
              <w:rPr>
                <w:rFonts w:hint="default" w:ascii="楷体_GB2312" w:hAnsi="楷体_GB2312" w:eastAsia="楷体_GB2312" w:cs="楷体_GB2312"/>
                <w:color w:val="auto"/>
                <w:sz w:val="24"/>
                <w:szCs w:val="24"/>
                <w:highlight w:val="none"/>
                <w:lang w:val="en-US" w:eastAsia="zh-CN"/>
              </w:rPr>
              <w:t>6.甘肃鸿丰电石有限公司节能技术改造</w:t>
            </w:r>
            <w:r>
              <w:rPr>
                <w:rFonts w:hint="eastAsia" w:ascii="楷体_GB2312" w:hAnsi="楷体_GB2312" w:eastAsia="楷体_GB2312" w:cs="楷体_GB2312"/>
                <w:color w:val="auto"/>
                <w:sz w:val="24"/>
                <w:szCs w:val="24"/>
                <w:highlight w:val="none"/>
                <w:lang w:val="en-US" w:eastAsia="zh-CN"/>
              </w:rPr>
              <w:t>升级</w:t>
            </w:r>
            <w:r>
              <w:rPr>
                <w:rFonts w:hint="default" w:ascii="楷体_GB2312" w:hAnsi="楷体_GB2312" w:eastAsia="楷体_GB2312" w:cs="楷体_GB2312"/>
                <w:color w:val="auto"/>
                <w:sz w:val="24"/>
                <w:szCs w:val="24"/>
                <w:highlight w:val="none"/>
                <w:lang w:val="en-US" w:eastAsia="zh-CN"/>
              </w:rPr>
              <w:t>项目</w:t>
            </w:r>
          </w:p>
          <w:p>
            <w:pPr>
              <w:widowControl w:val="0"/>
              <w:numPr>
                <w:ilvl w:val="0"/>
                <w:numId w:val="0"/>
              </w:numPr>
              <w:wordWrap/>
              <w:adjustRightInd/>
              <w:snapToGrid/>
              <w:spacing w:before="0" w:beforeAutospacing="0" w:after="0" w:afterAutospacing="0" w:line="500" w:lineRule="exact"/>
              <w:ind w:left="0" w:leftChars="0" w:right="0"/>
              <w:jc w:val="both"/>
              <w:textAlignment w:val="auto"/>
              <w:outlineLvl w:val="9"/>
              <w:rPr>
                <w:rFonts w:hint="default"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7.</w:t>
            </w:r>
            <w:r>
              <w:rPr>
                <w:rFonts w:hint="default" w:ascii="楷体_GB2312" w:hAnsi="楷体_GB2312" w:eastAsia="楷体_GB2312" w:cs="楷体_GB2312"/>
                <w:color w:val="auto"/>
                <w:sz w:val="24"/>
                <w:szCs w:val="24"/>
                <w:highlight w:val="none"/>
                <w:lang w:val="en-US" w:eastAsia="zh-CN"/>
              </w:rPr>
              <w:t>甘肃金泥化工有限责任公司</w:t>
            </w:r>
            <w:r>
              <w:rPr>
                <w:rFonts w:hint="eastAsia" w:ascii="楷体_GB2312" w:hAnsi="楷体_GB2312" w:eastAsia="楷体_GB2312" w:cs="楷体_GB2312"/>
                <w:color w:val="auto"/>
                <w:sz w:val="24"/>
                <w:szCs w:val="24"/>
                <w:highlight w:val="none"/>
                <w:lang w:val="en-US" w:eastAsia="zh-CN"/>
              </w:rPr>
              <w:t>电石系统</w:t>
            </w:r>
            <w:r>
              <w:rPr>
                <w:rFonts w:hint="default" w:ascii="楷体_GB2312" w:hAnsi="楷体_GB2312" w:eastAsia="楷体_GB2312" w:cs="楷体_GB2312"/>
                <w:color w:val="auto"/>
                <w:sz w:val="24"/>
                <w:szCs w:val="24"/>
                <w:highlight w:val="none"/>
                <w:lang w:val="en-US" w:eastAsia="zh-CN"/>
              </w:rPr>
              <w:t>节能技术</w:t>
            </w:r>
            <w:r>
              <w:rPr>
                <w:rFonts w:hint="eastAsia" w:ascii="楷体_GB2312" w:hAnsi="楷体_GB2312" w:eastAsia="楷体_GB2312" w:cs="楷体_GB2312"/>
                <w:color w:val="auto"/>
                <w:sz w:val="24"/>
                <w:szCs w:val="24"/>
                <w:highlight w:val="none"/>
                <w:lang w:val="en-US" w:eastAsia="zh-CN"/>
              </w:rPr>
              <w:t>优化</w:t>
            </w:r>
            <w:r>
              <w:rPr>
                <w:rFonts w:hint="default" w:ascii="楷体_GB2312" w:hAnsi="楷体_GB2312" w:eastAsia="楷体_GB2312" w:cs="楷体_GB2312"/>
                <w:color w:val="auto"/>
                <w:sz w:val="24"/>
                <w:szCs w:val="24"/>
                <w:highlight w:val="none"/>
                <w:lang w:val="en-US" w:eastAsia="zh-CN"/>
              </w:rPr>
              <w:t>改造项目</w:t>
            </w:r>
          </w:p>
        </w:tc>
      </w:tr>
    </w:tbl>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（四）加强绿色低碳技术装备研发应用</w:t>
      </w:r>
    </w:p>
    <w:p>
      <w:pPr>
        <w:widowControl w:val="0"/>
        <w:wordWrap/>
        <w:adjustRightInd/>
        <w:snapToGrid/>
        <w:spacing w:line="240" w:lineRule="auto"/>
        <w:ind w:left="0" w:leftChars="0" w:right="0" w:firstLine="640" w:firstLineChars="200"/>
        <w:jc w:val="both"/>
        <w:textAlignment w:val="auto"/>
        <w:outlineLvl w:val="9"/>
        <w:rPr>
          <w:rFonts w:hint="default"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lang w:val="en-US" w:eastAsia="zh-CN"/>
        </w:rPr>
        <w:t>鼓励支持</w:t>
      </w:r>
      <w:r>
        <w:rPr>
          <w:rFonts w:hint="eastAsia" w:ascii="仿宋_GB2312" w:hAnsi="仿宋_GB2312" w:eastAsia="仿宋_GB2312" w:cs="仿宋_GB2312"/>
          <w:color w:val="auto"/>
          <w:sz w:val="32"/>
          <w:szCs w:val="32"/>
          <w:highlight w:val="none"/>
          <w:lang w:val="en-US" w:eastAsia="zh-CN"/>
        </w:rPr>
        <w:t>石化化工</w:t>
      </w:r>
      <w:r>
        <w:rPr>
          <w:rFonts w:hint="default" w:ascii="仿宋_GB2312" w:hAnsi="仿宋_GB2312" w:eastAsia="仿宋_GB2312" w:cs="仿宋_GB2312"/>
          <w:color w:val="auto"/>
          <w:sz w:val="32"/>
          <w:szCs w:val="32"/>
          <w:highlight w:val="none"/>
          <w:lang w:val="en-US" w:eastAsia="zh-CN"/>
        </w:rPr>
        <w:t>领域重点企业加强节能降碳先进适用工艺技术装备研发，</w:t>
      </w:r>
      <w:r>
        <w:rPr>
          <w:rFonts w:hint="eastAsia" w:ascii="仿宋_GB2312" w:hAnsi="仿宋_GB2312" w:eastAsia="仿宋_GB2312" w:cs="仿宋_GB2312"/>
          <w:color w:val="auto"/>
          <w:sz w:val="32"/>
          <w:szCs w:val="32"/>
          <w:highlight w:val="none"/>
          <w:lang w:val="en-US" w:eastAsia="zh-CN"/>
        </w:rPr>
        <w:t>加大技术攻关，</w:t>
      </w:r>
      <w:r>
        <w:rPr>
          <w:rFonts w:hint="default" w:ascii="仿宋_GB2312" w:hAnsi="仿宋_GB2312" w:eastAsia="仿宋_GB2312" w:cs="仿宋_GB2312"/>
          <w:color w:val="auto"/>
          <w:sz w:val="32"/>
          <w:szCs w:val="32"/>
          <w:highlight w:val="none"/>
          <w:lang w:val="en-US" w:eastAsia="zh-CN"/>
        </w:rPr>
        <w:t>加强成果转化应用。推广合成气一步法制烯烃、大型加氢裂化反应器、气化炉、乙烯裂解炉、压缩机，高效换热器等设计制造技术，催化剂、助剂制备技术，自主化智能控制系统。鼓励采用热泵、热夹点、热联合等技术，加强工艺余热、余压回收，实现能量梯级利用。推动蒸汽驱动向电力驱动转变，开展企业供电系统适应性改造</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kern w:val="0"/>
          <w:sz w:val="32"/>
          <w:szCs w:val="32"/>
          <w:lang w:val="en-US" w:eastAsia="zh-CN"/>
        </w:rPr>
        <w:t>积极打造“源网荷储”试点示范，</w:t>
      </w:r>
      <w:r>
        <w:rPr>
          <w:rFonts w:hint="default" w:ascii="仿宋_GB2312" w:hAnsi="仿宋_GB2312" w:eastAsia="仿宋_GB2312" w:cs="仿宋_GB2312"/>
          <w:color w:val="auto"/>
          <w:sz w:val="32"/>
          <w:szCs w:val="32"/>
          <w:highlight w:val="none"/>
          <w:lang w:val="en-US" w:eastAsia="zh-CN"/>
        </w:rPr>
        <w:t>鼓励石化基地或大型园区开展</w:t>
      </w:r>
      <w:r>
        <w:rPr>
          <w:rFonts w:hint="eastAsia" w:ascii="仿宋_GB2312" w:hAnsi="仿宋_GB2312" w:eastAsia="仿宋_GB2312" w:cs="仿宋_GB2312"/>
          <w:color w:val="auto"/>
          <w:sz w:val="32"/>
          <w:szCs w:val="32"/>
          <w:highlight w:val="none"/>
          <w:lang w:val="en-US" w:eastAsia="zh-CN"/>
        </w:rPr>
        <w:t>绿</w:t>
      </w:r>
      <w:r>
        <w:rPr>
          <w:rFonts w:hint="default" w:ascii="仿宋_GB2312" w:hAnsi="仿宋_GB2312" w:eastAsia="仿宋_GB2312" w:cs="仿宋_GB2312"/>
          <w:color w:val="auto"/>
          <w:sz w:val="32"/>
          <w:szCs w:val="32"/>
          <w:highlight w:val="none"/>
          <w:lang w:val="en-US" w:eastAsia="zh-CN"/>
        </w:rPr>
        <w:t>电供热、供电示范应用</w:t>
      </w:r>
      <w:r>
        <w:rPr>
          <w:rFonts w:hint="eastAsia" w:ascii="仿宋_GB2312" w:hAnsi="仿宋_GB2312" w:eastAsia="仿宋_GB2312" w:cs="仿宋_GB2312"/>
          <w:color w:val="auto"/>
          <w:sz w:val="32"/>
          <w:szCs w:val="32"/>
          <w:highlight w:val="none"/>
          <w:lang w:val="en-US" w:eastAsia="zh-CN"/>
        </w:rPr>
        <w:t>，加大可再生能源利用。</w:t>
      </w:r>
      <w:r>
        <w:rPr>
          <w:rFonts w:hint="default" w:ascii="Times New Roman" w:hAnsi="Times New Roman" w:eastAsia="楷体_GB2312" w:cs="Times New Roman"/>
          <w:color w:val="auto"/>
          <w:sz w:val="32"/>
          <w:szCs w:val="32"/>
          <w:highlight w:val="none"/>
          <w:lang w:eastAsia="zh-CN"/>
        </w:rPr>
        <w:t>（省科技厅、省发展改革委、省工信厅、省政府国资委按职责分工负责）</w:t>
      </w:r>
    </w:p>
    <w:tbl>
      <w:tblPr>
        <w:tblStyle w:val="6"/>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0" w:type="dxa"/>
            <w:vAlign w:val="top"/>
          </w:tcPr>
          <w:p>
            <w:pPr>
              <w:widowControl w:val="0"/>
              <w:wordWrap/>
              <w:adjustRightInd/>
              <w:snapToGrid/>
              <w:spacing w:before="0" w:beforeAutospacing="0" w:after="0" w:afterAutospacing="0" w:line="500" w:lineRule="exact"/>
              <w:ind w:left="0" w:leftChars="0" w:right="0"/>
              <w:jc w:val="center"/>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28"/>
                <w:szCs w:val="28"/>
                <w:lang w:eastAsia="zh-CN"/>
              </w:rPr>
              <w:t>专栏</w:t>
            </w:r>
            <w:r>
              <w:rPr>
                <w:rFonts w:hint="eastAsia" w:ascii="Times New Roman" w:hAnsi="Times New Roman" w:eastAsia="楷体_GB2312" w:cs="Times New Roman"/>
                <w:color w:val="auto"/>
                <w:sz w:val="28"/>
                <w:szCs w:val="28"/>
                <w:lang w:val="en-US" w:eastAsia="zh-CN"/>
              </w:rPr>
              <w:t>二</w:t>
            </w:r>
            <w:r>
              <w:rPr>
                <w:rFonts w:hint="default" w:ascii="Times New Roman" w:hAnsi="Times New Roman" w:eastAsia="楷体_GB2312" w:cs="Times New Roman"/>
                <w:color w:val="auto"/>
                <w:sz w:val="28"/>
                <w:szCs w:val="28"/>
                <w:lang w:eastAsia="zh-CN"/>
              </w:rPr>
              <w:t xml:space="preserve">  </w:t>
            </w:r>
            <w:r>
              <w:rPr>
                <w:rFonts w:hint="eastAsia" w:ascii="Times New Roman" w:hAnsi="Times New Roman" w:eastAsia="楷体_GB2312" w:cs="Times New Roman"/>
                <w:color w:val="auto"/>
                <w:sz w:val="28"/>
                <w:szCs w:val="28"/>
                <w:lang w:val="en-US" w:eastAsia="zh-CN"/>
              </w:rPr>
              <w:t>石化化工</w:t>
            </w:r>
            <w:r>
              <w:rPr>
                <w:rFonts w:hint="default" w:ascii="Times New Roman" w:hAnsi="Times New Roman" w:eastAsia="楷体_GB2312" w:cs="Times New Roman"/>
                <w:color w:val="auto"/>
                <w:sz w:val="28"/>
                <w:szCs w:val="28"/>
                <w:lang w:eastAsia="zh-CN"/>
              </w:rPr>
              <w:t>领域绿色低碳技术重点方向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0" w:type="dxa"/>
            <w:vAlign w:val="top"/>
          </w:tcPr>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eastAsia" w:ascii="Times New Roman" w:hAnsi="Times New Roman" w:eastAsia="黑体" w:cs="Times New Roman"/>
                <w:i w:val="0"/>
                <w:iCs w:val="0"/>
                <w:color w:val="auto"/>
                <w:sz w:val="24"/>
                <w:szCs w:val="24"/>
                <w:highlight w:val="none"/>
                <w:lang w:val="en-US" w:eastAsia="zh-CN"/>
              </w:rPr>
              <w:t>炼油</w:t>
            </w:r>
            <w:r>
              <w:rPr>
                <w:rFonts w:hint="default" w:ascii="Times New Roman" w:hAnsi="Times New Roman" w:eastAsia="黑体" w:cs="Times New Roman"/>
                <w:i w:val="0"/>
                <w:iCs w:val="0"/>
                <w:color w:val="auto"/>
                <w:sz w:val="24"/>
                <w:szCs w:val="24"/>
                <w:highlight w:val="none"/>
                <w:lang w:eastAsia="zh-CN"/>
              </w:rPr>
              <w:t>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eastAsia="zh-CN"/>
              </w:rPr>
              <w:t>先进技术攻关：</w:t>
            </w:r>
            <w:r>
              <w:rPr>
                <w:rFonts w:hint="eastAsia" w:ascii="楷体_GB2312" w:hAnsi="楷体_GB2312" w:eastAsia="楷体_GB2312" w:cs="楷体_GB2312"/>
                <w:color w:val="auto"/>
                <w:sz w:val="24"/>
                <w:szCs w:val="24"/>
                <w:highlight w:val="none"/>
                <w:lang w:val="en-US" w:eastAsia="zh-CN"/>
              </w:rPr>
              <w:t>推动渣油浆态床加氢等劣质重油原料加工、先进分离、组分炼油及分子炼油、低成本增产烯烃和芳烃、原油直接裂解等深度炼化技术开发应用。</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eastAsia="zh-CN"/>
              </w:rPr>
              <w:t>成熟工艺技术装备推广：</w:t>
            </w:r>
            <w:r>
              <w:rPr>
                <w:rFonts w:hint="eastAsia" w:ascii="楷体_GB2312" w:hAnsi="楷体_GB2312" w:eastAsia="楷体_GB2312" w:cs="楷体_GB2312"/>
                <w:color w:val="auto"/>
                <w:sz w:val="24"/>
                <w:szCs w:val="24"/>
                <w:highlight w:val="none"/>
                <w:lang w:val="en-US" w:eastAsia="zh-CN"/>
              </w:rPr>
              <w:t>采用CO燃烧控制技术提高加热炉热效率，合理采用变频调速、液力耦合调速、永磁调速等机泵调速技术提高系统效率，采用冷再生剂循环催化裂化技术提高催化裂化反应选择性，降低能耗、催化剂消耗，采用压缩机控制优化与调节技术降低不必要压缩功消耗和不必要停车，采用保温强化节能技术降低散热损失。</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eastAsia" w:ascii="Times New Roman" w:hAnsi="Times New Roman" w:eastAsia="黑体" w:cs="Times New Roman"/>
                <w:i w:val="0"/>
                <w:iCs w:val="0"/>
                <w:color w:val="auto"/>
                <w:sz w:val="24"/>
                <w:szCs w:val="24"/>
                <w:highlight w:val="none"/>
                <w:lang w:val="en-US" w:eastAsia="zh-CN"/>
              </w:rPr>
              <w:t>乙烯</w:t>
            </w:r>
            <w:r>
              <w:rPr>
                <w:rFonts w:hint="default" w:ascii="Times New Roman" w:hAnsi="Times New Roman" w:eastAsia="黑体" w:cs="Times New Roman"/>
                <w:i w:val="0"/>
                <w:iCs w:val="0"/>
                <w:color w:val="auto"/>
                <w:sz w:val="24"/>
                <w:szCs w:val="24"/>
                <w:highlight w:val="none"/>
                <w:lang w:eastAsia="zh-CN"/>
              </w:rPr>
              <w:t>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val="en-US" w:eastAsia="zh-CN"/>
              </w:rPr>
              <w:t>先进技术攻关：</w:t>
            </w:r>
            <w:r>
              <w:rPr>
                <w:rFonts w:hint="default" w:ascii="Times New Roman" w:hAnsi="Times New Roman" w:eastAsia="楷体_GB2312" w:cs="Times New Roman"/>
                <w:color w:val="auto"/>
                <w:sz w:val="24"/>
                <w:szCs w:val="24"/>
                <w:highlight w:val="none"/>
                <w:lang w:val="en-US" w:eastAsia="zh-CN"/>
              </w:rPr>
              <w:t>推动原油直接裂解技术、电裂解炉技术开发应用。加强装备电气化与绿色能源耦合利用技术应用。</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eastAsia="zh-CN"/>
              </w:rPr>
              <w:t>成熟工艺</w:t>
            </w:r>
            <w:r>
              <w:rPr>
                <w:rFonts w:hint="eastAsia" w:ascii="Times New Roman" w:hAnsi="Times New Roman" w:eastAsia="楷体_GB2312" w:cs="Times New Roman"/>
                <w:b/>
                <w:bCs/>
                <w:color w:val="auto"/>
                <w:sz w:val="24"/>
                <w:szCs w:val="24"/>
                <w:highlight w:val="none"/>
                <w:lang w:eastAsia="zh-CN"/>
              </w:rPr>
              <w:t>技术装备</w:t>
            </w:r>
            <w:r>
              <w:rPr>
                <w:rFonts w:hint="default" w:ascii="Times New Roman" w:hAnsi="Times New Roman" w:eastAsia="楷体_GB2312" w:cs="Times New Roman"/>
                <w:b/>
                <w:bCs/>
                <w:color w:val="auto"/>
                <w:sz w:val="24"/>
                <w:szCs w:val="24"/>
                <w:highlight w:val="none"/>
                <w:lang w:eastAsia="zh-CN"/>
              </w:rPr>
              <w:t>推广</w:t>
            </w:r>
            <w:r>
              <w:rPr>
                <w:rFonts w:hint="default" w:ascii="Times New Roman" w:hAnsi="Times New Roman" w:eastAsia="楷体_GB2312" w:cs="Times New Roman"/>
                <w:b/>
                <w:bCs/>
                <w:color w:val="auto"/>
                <w:sz w:val="24"/>
                <w:szCs w:val="24"/>
                <w:highlight w:val="none"/>
                <w:lang w:val="en-US" w:eastAsia="zh-CN"/>
              </w:rPr>
              <w:t>：</w:t>
            </w:r>
            <w:r>
              <w:rPr>
                <w:rFonts w:hint="default" w:ascii="Times New Roman" w:hAnsi="Times New Roman" w:eastAsia="楷体_GB2312" w:cs="Times New Roman"/>
                <w:color w:val="auto"/>
                <w:sz w:val="24"/>
                <w:szCs w:val="24"/>
                <w:highlight w:val="none"/>
                <w:lang w:val="en-US" w:eastAsia="zh-CN"/>
              </w:rPr>
              <w:t>采用热泵流程，将烯烃精馏塔和制冷压缩相结合，提高精馏过程热效率。采用分凝分馏塔，增加气液分离效率。采用扭曲片管等裂解炉管和新型强制通风型烧嘴，降低过剩空气率，提高裂解炉热效率。</w:t>
            </w:r>
            <w:r>
              <w:rPr>
                <w:rFonts w:hint="eastAsia" w:ascii="Times New Roman" w:hAnsi="Times New Roman" w:eastAsia="楷体_GB2312" w:cs="Times New Roman"/>
                <w:color w:val="auto"/>
                <w:sz w:val="24"/>
                <w:szCs w:val="24"/>
                <w:highlight w:val="none"/>
                <w:lang w:val="en-US" w:eastAsia="zh-CN"/>
              </w:rPr>
              <w:t>加快裂解炉在线烧焦技术、先进减粘塔减粘技术、扭曲片管等裂解炉管和新型强制通风型烧嘴、余热利用热泵集成技术、先进优化控制技术、炉管强化传热技术等普及推广。</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eastAsia" w:ascii="Times New Roman" w:hAnsi="Times New Roman" w:eastAsia="黑体" w:cs="Times New Roman"/>
                <w:i w:val="0"/>
                <w:iCs w:val="0"/>
                <w:color w:val="auto"/>
                <w:sz w:val="24"/>
                <w:szCs w:val="24"/>
                <w:highlight w:val="none"/>
                <w:lang w:val="en-US" w:eastAsia="zh-CN"/>
              </w:rPr>
              <w:t>现代煤化工</w:t>
            </w:r>
            <w:r>
              <w:rPr>
                <w:rFonts w:hint="default" w:ascii="Times New Roman" w:hAnsi="Times New Roman" w:eastAsia="黑体" w:cs="Times New Roman"/>
                <w:i w:val="0"/>
                <w:iCs w:val="0"/>
                <w:color w:val="auto"/>
                <w:sz w:val="24"/>
                <w:szCs w:val="24"/>
                <w:highlight w:val="none"/>
                <w:lang w:eastAsia="zh-CN"/>
              </w:rPr>
              <w:t>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val="en-US" w:eastAsia="zh-CN"/>
              </w:rPr>
              <w:t>先进技术攻关：</w:t>
            </w:r>
            <w:r>
              <w:rPr>
                <w:rFonts w:hint="default" w:ascii="Times New Roman" w:hAnsi="Times New Roman" w:eastAsia="楷体_GB2312" w:cs="Times New Roman"/>
                <w:color w:val="auto"/>
                <w:sz w:val="24"/>
                <w:szCs w:val="24"/>
                <w:highlight w:val="none"/>
                <w:lang w:val="en-US" w:eastAsia="zh-CN"/>
              </w:rPr>
              <w:t>加快研发高性能复合新型催化剂。推动自主化成套大型空分、大型空压增压机、大型煤气化炉示范应用。推动合成气一步法制烯烃、绿氢与煤化工项目耦合等前沿技术开发应用。</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eastAsia="zh-CN"/>
              </w:rPr>
              <w:t>成熟工艺</w:t>
            </w:r>
            <w:r>
              <w:rPr>
                <w:rFonts w:hint="eastAsia" w:ascii="Times New Roman" w:hAnsi="Times New Roman" w:eastAsia="楷体_GB2312" w:cs="Times New Roman"/>
                <w:b/>
                <w:bCs/>
                <w:color w:val="auto"/>
                <w:sz w:val="24"/>
                <w:szCs w:val="24"/>
                <w:highlight w:val="none"/>
                <w:lang w:eastAsia="zh-CN"/>
              </w:rPr>
              <w:t>技术装备</w:t>
            </w:r>
            <w:r>
              <w:rPr>
                <w:rFonts w:hint="default" w:ascii="Times New Roman" w:hAnsi="Times New Roman" w:eastAsia="楷体_GB2312" w:cs="Times New Roman"/>
                <w:b/>
                <w:bCs/>
                <w:color w:val="auto"/>
                <w:sz w:val="24"/>
                <w:szCs w:val="24"/>
                <w:highlight w:val="none"/>
                <w:lang w:eastAsia="zh-CN"/>
              </w:rPr>
              <w:t>推广</w:t>
            </w:r>
            <w:r>
              <w:rPr>
                <w:rFonts w:hint="default" w:ascii="Times New Roman" w:hAnsi="Times New Roman" w:eastAsia="楷体_GB2312" w:cs="Times New Roman"/>
                <w:b/>
                <w:bCs/>
                <w:color w:val="auto"/>
                <w:sz w:val="24"/>
                <w:szCs w:val="24"/>
                <w:highlight w:val="none"/>
                <w:lang w:val="en-US" w:eastAsia="zh-CN"/>
              </w:rPr>
              <w:t>：</w:t>
            </w:r>
            <w:r>
              <w:rPr>
                <w:rFonts w:hint="default" w:ascii="Times New Roman" w:hAnsi="Times New Roman" w:eastAsia="楷体_GB2312" w:cs="Times New Roman"/>
                <w:color w:val="auto"/>
                <w:sz w:val="24"/>
                <w:szCs w:val="24"/>
                <w:highlight w:val="none"/>
                <w:lang w:val="en-US" w:eastAsia="zh-CN"/>
              </w:rPr>
              <w:t>加快高效煤气化炉、合成反应器、高效精馏系统、智能控制系统、高效降膜蒸发技术等装备研发应用。根据工艺余热品位的不同，在满足工艺装置要求的前提下，分别用于副产蒸汽、加热锅炉给水或预热脱盐水和补充水、有机朗肯循环发电，使能量供需和品位相匹配</w:t>
            </w:r>
            <w:r>
              <w:rPr>
                <w:rFonts w:hint="eastAsia" w:ascii="Times New Roman" w:hAnsi="Times New Roman" w:eastAsia="楷体_GB2312" w:cs="Times New Roman"/>
                <w:color w:val="auto"/>
                <w:sz w:val="24"/>
                <w:szCs w:val="24"/>
                <w:highlight w:val="none"/>
                <w:lang w:val="en-US" w:eastAsia="zh-CN"/>
              </w:rPr>
              <w:t>，</w:t>
            </w:r>
            <w:r>
              <w:rPr>
                <w:rFonts w:hint="default" w:ascii="Times New Roman" w:hAnsi="Times New Roman" w:eastAsia="楷体_GB2312" w:cs="Times New Roman"/>
                <w:color w:val="auto"/>
                <w:sz w:val="24"/>
                <w:szCs w:val="24"/>
                <w:highlight w:val="none"/>
                <w:lang w:val="en-US" w:eastAsia="zh-CN"/>
              </w:rPr>
              <w:t>依托项目周边二氧化碳利用和封存条件，因地制宜开展变换等重点工艺环节高浓度二氧化碳捕集、利用及封存试点</w:t>
            </w:r>
            <w:r>
              <w:rPr>
                <w:rFonts w:hint="eastAsia" w:ascii="Times New Roman" w:hAnsi="Times New Roman" w:eastAsia="楷体_GB2312" w:cs="Times New Roman"/>
                <w:color w:val="auto"/>
                <w:sz w:val="24"/>
                <w:szCs w:val="24"/>
                <w:highlight w:val="none"/>
                <w:lang w:val="en-US" w:eastAsia="zh-CN"/>
              </w:rPr>
              <w:t>，</w:t>
            </w:r>
            <w:r>
              <w:rPr>
                <w:rFonts w:hint="default" w:ascii="Times New Roman" w:hAnsi="Times New Roman" w:eastAsia="楷体_GB2312" w:cs="Times New Roman"/>
                <w:color w:val="auto"/>
                <w:sz w:val="24"/>
                <w:szCs w:val="24"/>
                <w:highlight w:val="none"/>
                <w:lang w:val="en-US" w:eastAsia="zh-CN"/>
              </w:rPr>
              <w:t>加强灰、渣资源化综合利用。</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eastAsia" w:ascii="Times New Roman" w:hAnsi="Times New Roman" w:eastAsia="黑体" w:cs="Times New Roman"/>
                <w:i w:val="0"/>
                <w:iCs w:val="0"/>
                <w:color w:val="auto"/>
                <w:sz w:val="24"/>
                <w:szCs w:val="24"/>
                <w:highlight w:val="none"/>
                <w:lang w:val="en-US" w:eastAsia="zh-CN"/>
              </w:rPr>
              <w:t>合成氨</w:t>
            </w:r>
            <w:r>
              <w:rPr>
                <w:rFonts w:hint="default" w:ascii="Times New Roman" w:hAnsi="Times New Roman" w:eastAsia="黑体" w:cs="Times New Roman"/>
                <w:i w:val="0"/>
                <w:iCs w:val="0"/>
                <w:color w:val="auto"/>
                <w:sz w:val="24"/>
                <w:szCs w:val="24"/>
                <w:highlight w:val="none"/>
                <w:lang w:eastAsia="zh-CN"/>
              </w:rPr>
              <w:t>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val="en-US" w:eastAsia="zh-CN"/>
              </w:rPr>
              <w:t>先进技术攻关：</w:t>
            </w:r>
            <w:r>
              <w:rPr>
                <w:rFonts w:hint="eastAsia" w:ascii="楷体_GB2312" w:hAnsi="楷体_GB2312" w:eastAsia="楷体_GB2312" w:cs="楷体_GB2312"/>
                <w:color w:val="auto"/>
                <w:sz w:val="24"/>
                <w:szCs w:val="24"/>
                <w:highlight w:val="none"/>
                <w:lang w:val="en-US" w:eastAsia="zh-CN"/>
              </w:rPr>
              <w:t>开展绿色低碳能源制合成氨技术研究和示范。示范6.5兆帕及以上的干煤粉气化技术，提高装置气化效率；示范、优化并适时推广废锅或半废锅流程回收高温煤气余热副产蒸汽，替代全激冷流程煤气降温技术，提升煤气化装置热效率。</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eastAsia="zh-CN"/>
              </w:rPr>
              <w:t>成熟工艺技术装备推广</w:t>
            </w:r>
            <w:r>
              <w:rPr>
                <w:rFonts w:hint="eastAsia" w:ascii="楷体_GB2312" w:hAnsi="楷体_GB2312" w:eastAsia="楷体_GB2312" w:cs="楷体_GB2312"/>
                <w:b/>
                <w:bCs/>
                <w:color w:val="auto"/>
                <w:sz w:val="24"/>
                <w:szCs w:val="24"/>
                <w:highlight w:val="none"/>
                <w:lang w:val="en-US" w:eastAsia="zh-CN"/>
              </w:rPr>
              <w:t>：</w:t>
            </w:r>
            <w:r>
              <w:rPr>
                <w:rFonts w:hint="eastAsia" w:ascii="楷体_GB2312" w:hAnsi="楷体_GB2312" w:eastAsia="楷体_GB2312" w:cs="楷体_GB2312"/>
                <w:color w:val="auto"/>
                <w:sz w:val="24"/>
                <w:szCs w:val="24"/>
                <w:highlight w:val="none"/>
                <w:lang w:val="en-US" w:eastAsia="zh-CN"/>
              </w:rPr>
              <w:t>优化合成氨原料结构，增加绿氢原料比例，在满足工艺装置要求的前提下，根据工艺余热品位不同，分别用于副产蒸汽、加热锅炉给水或预热脱盐水和补充水、有机朗肯循环发电，实现能量供需和品位相匹配。提高传质传热和能量转换效率，提高一氧化碳变换，用等温变换炉取代绝热变换炉。</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eastAsia" w:ascii="Times New Roman" w:hAnsi="Times New Roman" w:eastAsia="黑体" w:cs="Times New Roman"/>
                <w:i w:val="0"/>
                <w:iCs w:val="0"/>
                <w:color w:val="auto"/>
                <w:sz w:val="24"/>
                <w:szCs w:val="24"/>
                <w:highlight w:val="none"/>
                <w:lang w:val="en-US" w:eastAsia="zh-CN"/>
              </w:rPr>
              <w:t>电石</w:t>
            </w:r>
            <w:r>
              <w:rPr>
                <w:rFonts w:hint="default" w:ascii="Times New Roman" w:hAnsi="Times New Roman" w:eastAsia="黑体" w:cs="Times New Roman"/>
                <w:i w:val="0"/>
                <w:iCs w:val="0"/>
                <w:color w:val="auto"/>
                <w:sz w:val="24"/>
                <w:szCs w:val="24"/>
                <w:highlight w:val="none"/>
                <w:lang w:eastAsia="zh-CN"/>
              </w:rPr>
              <w:t>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val="en-US" w:eastAsia="zh-CN"/>
              </w:rPr>
              <w:t>先进技术攻关：</w:t>
            </w:r>
            <w:r>
              <w:rPr>
                <w:rFonts w:hint="default" w:ascii="Times New Roman" w:hAnsi="Times New Roman" w:eastAsia="楷体_GB2312" w:cs="Times New Roman"/>
                <w:color w:val="auto"/>
                <w:sz w:val="24"/>
                <w:szCs w:val="24"/>
                <w:highlight w:val="none"/>
                <w:lang w:val="en-US" w:eastAsia="zh-CN"/>
              </w:rPr>
              <w:t>加强电石显热回收及高效利用技术研发和推广应用，降低单位电石产品综合能耗。加快氧热法、电磁法等电石生产新工艺开发，适时建设中试及工业化装置。</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eastAsia="zh-CN"/>
              </w:rPr>
              <w:t>成熟工艺</w:t>
            </w:r>
            <w:r>
              <w:rPr>
                <w:rFonts w:hint="eastAsia" w:ascii="Times New Roman" w:hAnsi="Times New Roman" w:eastAsia="楷体_GB2312" w:cs="Times New Roman"/>
                <w:b/>
                <w:bCs/>
                <w:color w:val="auto"/>
                <w:sz w:val="24"/>
                <w:szCs w:val="24"/>
                <w:highlight w:val="none"/>
                <w:lang w:eastAsia="zh-CN"/>
              </w:rPr>
              <w:t>技术装备</w:t>
            </w:r>
            <w:r>
              <w:rPr>
                <w:rFonts w:hint="default" w:ascii="Times New Roman" w:hAnsi="Times New Roman" w:eastAsia="楷体_GB2312" w:cs="Times New Roman"/>
                <w:b/>
                <w:bCs/>
                <w:color w:val="auto"/>
                <w:sz w:val="24"/>
                <w:szCs w:val="24"/>
                <w:highlight w:val="none"/>
                <w:lang w:eastAsia="zh-CN"/>
              </w:rPr>
              <w:t>推广</w:t>
            </w:r>
            <w:r>
              <w:rPr>
                <w:rFonts w:hint="default" w:ascii="Times New Roman" w:hAnsi="Times New Roman" w:eastAsia="楷体_GB2312" w:cs="Times New Roman"/>
                <w:b/>
                <w:bCs/>
                <w:color w:val="auto"/>
                <w:sz w:val="24"/>
                <w:szCs w:val="24"/>
                <w:highlight w:val="none"/>
                <w:lang w:val="en-US" w:eastAsia="zh-CN"/>
              </w:rPr>
              <w:t>：</w:t>
            </w:r>
            <w:r>
              <w:rPr>
                <w:rFonts w:hint="default" w:ascii="Times New Roman" w:hAnsi="Times New Roman" w:eastAsia="楷体_GB2312" w:cs="Times New Roman"/>
                <w:color w:val="auto"/>
                <w:sz w:val="24"/>
                <w:szCs w:val="24"/>
                <w:highlight w:val="none"/>
                <w:lang w:val="en-US" w:eastAsia="zh-CN"/>
              </w:rPr>
              <w:t xml:space="preserve">推进电石炉采用高效保温材料，有效减少电石炉体热损失，降低电炉电耗。推广先进余热回收技术，使用热管技术回收电石炉气余热用于发电。回收利用石灰窑废气余热作为炭材烘干装置热源，回收电石炉净化灰作为炭材烘干装置补充燃料，提高余热利用水平。 </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eastAsia" w:ascii="Times New Roman" w:hAnsi="Times New Roman" w:eastAsia="黑体" w:cs="Times New Roman"/>
                <w:i w:val="0"/>
                <w:iCs w:val="0"/>
                <w:color w:val="auto"/>
                <w:sz w:val="24"/>
                <w:szCs w:val="24"/>
                <w:highlight w:val="none"/>
                <w:lang w:val="en-US" w:eastAsia="zh-CN"/>
              </w:rPr>
              <w:t>烧碱</w:t>
            </w:r>
            <w:r>
              <w:rPr>
                <w:rFonts w:hint="default" w:ascii="Times New Roman" w:hAnsi="Times New Roman" w:eastAsia="黑体" w:cs="Times New Roman"/>
                <w:i w:val="0"/>
                <w:iCs w:val="0"/>
                <w:color w:val="auto"/>
                <w:sz w:val="24"/>
                <w:szCs w:val="24"/>
                <w:highlight w:val="none"/>
                <w:lang w:eastAsia="zh-CN"/>
              </w:rPr>
              <w:t>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val="en-US" w:eastAsia="zh-CN"/>
              </w:rPr>
              <w:t>先进技术攻关：</w:t>
            </w:r>
            <w:r>
              <w:rPr>
                <w:rFonts w:hint="eastAsia" w:ascii="楷体_GB2312" w:hAnsi="楷体_GB2312" w:eastAsia="楷体_GB2312" w:cs="楷体_GB2312"/>
                <w:color w:val="auto"/>
                <w:sz w:val="24"/>
                <w:szCs w:val="24"/>
                <w:highlight w:val="none"/>
                <w:lang w:val="en-US" w:eastAsia="zh-CN"/>
              </w:rPr>
              <w:t>加强储氢燃料电池发电集成装置研发和应用，探索氯碱—氢能—绿电自用新模式。加强烧碱蒸发和固碱加工先进技术研发应用。</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eastAsia="zh-CN"/>
              </w:rPr>
              <w:t>成熟工艺技术装备推广</w:t>
            </w:r>
            <w:r>
              <w:rPr>
                <w:rFonts w:hint="eastAsia" w:ascii="楷体_GB2312" w:hAnsi="楷体_GB2312" w:eastAsia="楷体_GB2312" w:cs="楷体_GB2312"/>
                <w:b/>
                <w:bCs/>
                <w:color w:val="auto"/>
                <w:sz w:val="24"/>
                <w:szCs w:val="24"/>
                <w:highlight w:val="none"/>
                <w:lang w:val="en-US" w:eastAsia="zh-CN"/>
              </w:rPr>
              <w:t>：</w:t>
            </w:r>
            <w:r>
              <w:rPr>
                <w:rFonts w:hint="eastAsia" w:ascii="楷体_GB2312" w:hAnsi="楷体_GB2312" w:eastAsia="楷体_GB2312" w:cs="楷体_GB2312"/>
                <w:color w:val="auto"/>
                <w:sz w:val="24"/>
                <w:szCs w:val="24"/>
                <w:highlight w:val="none"/>
                <w:lang w:val="en-US" w:eastAsia="zh-CN"/>
              </w:rPr>
              <w:t>开展氯化氢合成炉升级改造，提高氯化氢合成余热利用水平。开展工艺优化和精细管理，提升水、电、汽管控水平，提高资源利用效率，开展膜极距技术改造升级。推动离子膜法烧碱装置进行膜极距离子膜电解槽改造升级。推动以高浓度烧碱和固片碱为主要产品的烧碱企业实施多效蒸发节能改造升级。</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eastAsia" w:ascii="Times New Roman" w:hAnsi="Times New Roman" w:eastAsia="黑体" w:cs="Times New Roman"/>
                <w:i w:val="0"/>
                <w:iCs w:val="0"/>
                <w:color w:val="auto"/>
                <w:sz w:val="24"/>
                <w:szCs w:val="24"/>
                <w:highlight w:val="none"/>
                <w:lang w:val="en-US" w:eastAsia="zh-CN"/>
              </w:rPr>
              <w:t>纯碱</w:t>
            </w:r>
            <w:r>
              <w:rPr>
                <w:rFonts w:hint="default" w:ascii="Times New Roman" w:hAnsi="Times New Roman" w:eastAsia="黑体" w:cs="Times New Roman"/>
                <w:i w:val="0"/>
                <w:iCs w:val="0"/>
                <w:color w:val="auto"/>
                <w:sz w:val="24"/>
                <w:szCs w:val="24"/>
                <w:highlight w:val="none"/>
                <w:lang w:eastAsia="zh-CN"/>
              </w:rPr>
              <w:t>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val="en-US" w:eastAsia="zh-CN"/>
              </w:rPr>
              <w:t>先进技术攻关：</w:t>
            </w:r>
            <w:r>
              <w:rPr>
                <w:rFonts w:hint="default" w:ascii="Times New Roman" w:hAnsi="Times New Roman" w:eastAsia="楷体_GB2312" w:cs="Times New Roman"/>
                <w:color w:val="auto"/>
                <w:sz w:val="24"/>
                <w:szCs w:val="24"/>
                <w:highlight w:val="none"/>
                <w:lang w:val="en-US" w:eastAsia="zh-CN"/>
              </w:rPr>
              <w:t>加强一步法重灰技术、重碱离心机过滤技术、重碱加压过滤技术、回转干铵炉技术等开发应用</w:t>
            </w:r>
            <w:r>
              <w:rPr>
                <w:rFonts w:hint="eastAsia" w:ascii="Times New Roman" w:hAnsi="Times New Roman" w:eastAsia="楷体_GB2312" w:cs="Times New Roman"/>
                <w:color w:val="auto"/>
                <w:sz w:val="24"/>
                <w:szCs w:val="24"/>
                <w:highlight w:val="none"/>
                <w:lang w:val="en-US"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val="en-US" w:eastAsia="zh-CN"/>
              </w:rPr>
            </w:pPr>
            <w:r>
              <w:rPr>
                <w:rFonts w:hint="default" w:ascii="Times New Roman" w:hAnsi="Times New Roman" w:eastAsia="楷体_GB2312" w:cs="Times New Roman"/>
                <w:b/>
                <w:bCs/>
                <w:color w:val="auto"/>
                <w:sz w:val="24"/>
                <w:szCs w:val="24"/>
                <w:highlight w:val="none"/>
                <w:lang w:eastAsia="zh-CN"/>
              </w:rPr>
              <w:t>成熟工艺</w:t>
            </w:r>
            <w:r>
              <w:rPr>
                <w:rFonts w:hint="eastAsia" w:ascii="Times New Roman" w:hAnsi="Times New Roman" w:eastAsia="楷体_GB2312" w:cs="Times New Roman"/>
                <w:b/>
                <w:bCs/>
                <w:color w:val="auto"/>
                <w:sz w:val="24"/>
                <w:szCs w:val="24"/>
                <w:highlight w:val="none"/>
                <w:lang w:eastAsia="zh-CN"/>
              </w:rPr>
              <w:t>技术装备</w:t>
            </w:r>
            <w:r>
              <w:rPr>
                <w:rFonts w:hint="default" w:ascii="Times New Roman" w:hAnsi="Times New Roman" w:eastAsia="楷体_GB2312" w:cs="Times New Roman"/>
                <w:b/>
                <w:bCs/>
                <w:color w:val="auto"/>
                <w:sz w:val="24"/>
                <w:szCs w:val="24"/>
                <w:highlight w:val="none"/>
                <w:lang w:eastAsia="zh-CN"/>
              </w:rPr>
              <w:t>推广</w:t>
            </w:r>
            <w:r>
              <w:rPr>
                <w:rFonts w:hint="default" w:ascii="Times New Roman" w:hAnsi="Times New Roman" w:eastAsia="楷体_GB2312" w:cs="Times New Roman"/>
                <w:b/>
                <w:bCs/>
                <w:color w:val="auto"/>
                <w:sz w:val="24"/>
                <w:szCs w:val="24"/>
                <w:highlight w:val="none"/>
                <w:lang w:val="en-US" w:eastAsia="zh-CN"/>
              </w:rPr>
              <w:t>：</w:t>
            </w:r>
            <w:r>
              <w:rPr>
                <w:rFonts w:hint="default" w:ascii="Times New Roman" w:hAnsi="Times New Roman" w:eastAsia="楷体_GB2312" w:cs="Times New Roman"/>
                <w:color w:val="auto"/>
                <w:sz w:val="24"/>
                <w:szCs w:val="24"/>
                <w:highlight w:val="none"/>
                <w:lang w:val="en-US" w:eastAsia="zh-CN"/>
              </w:rPr>
              <w:t>采用带式过滤机替代转鼓过滤机，推广粉体流凉碱设备、大型碳化塔、水平带式过滤机、大型冷盐析结晶器、大型煅烧炉、高效尾气吸收塔等设备，推动老旧装置开展节能降碳改造升级</w:t>
            </w:r>
            <w:r>
              <w:rPr>
                <w:rFonts w:hint="eastAsia" w:ascii="Times New Roman" w:hAnsi="Times New Roman" w:eastAsia="楷体_GB2312" w:cs="Times New Roman"/>
                <w:color w:val="auto"/>
                <w:sz w:val="24"/>
                <w:szCs w:val="24"/>
                <w:highlight w:val="none"/>
                <w:lang w:val="en-US" w:eastAsia="zh-CN"/>
              </w:rPr>
              <w:t>，</w:t>
            </w:r>
            <w:r>
              <w:rPr>
                <w:rFonts w:hint="default" w:ascii="Times New Roman" w:hAnsi="Times New Roman" w:eastAsia="楷体_GB2312" w:cs="Times New Roman"/>
                <w:color w:val="auto"/>
                <w:sz w:val="24"/>
                <w:szCs w:val="24"/>
                <w:highlight w:val="none"/>
                <w:lang w:val="en-US" w:eastAsia="zh-CN"/>
              </w:rPr>
              <w:t>采用煅烧炉气余热、蒸汽冷凝水余热利用等节能技术进行改造。推动具备条件的联碱企业采用副产蒸汽的大型水煤浆气化炉进行改造，副产蒸汽用于纯碱生产。</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wordWrap/>
              <w:adjustRightInd/>
              <w:snapToGrid/>
              <w:spacing w:before="0" w:beforeAutospacing="0" w:after="0" w:afterAutospacing="0" w:line="500" w:lineRule="exact"/>
              <w:ind w:left="0" w:right="0"/>
              <w:jc w:val="both"/>
              <w:textAlignment w:val="auto"/>
              <w:outlineLvl w:val="9"/>
              <w:rPr>
                <w:rFonts w:hint="default" w:ascii="Times New Roman" w:hAnsi="Times New Roman" w:eastAsia="黑体" w:cs="Times New Roman"/>
                <w:i w:val="0"/>
                <w:iCs w:val="0"/>
                <w:color w:val="auto"/>
                <w:sz w:val="24"/>
                <w:szCs w:val="24"/>
                <w:highlight w:val="none"/>
                <w:lang w:eastAsia="zh-CN"/>
              </w:rPr>
            </w:pPr>
            <w:r>
              <w:rPr>
                <w:rFonts w:hint="eastAsia" w:ascii="Times New Roman" w:hAnsi="Times New Roman" w:eastAsia="黑体" w:cs="Times New Roman"/>
                <w:i w:val="0"/>
                <w:iCs w:val="0"/>
                <w:color w:val="auto"/>
                <w:sz w:val="24"/>
                <w:szCs w:val="24"/>
                <w:highlight w:val="none"/>
                <w:lang w:val="en-US" w:eastAsia="zh-CN"/>
              </w:rPr>
              <w:t>磷铵</w:t>
            </w:r>
            <w:r>
              <w:rPr>
                <w:rFonts w:hint="default" w:ascii="Times New Roman" w:hAnsi="Times New Roman" w:eastAsia="黑体" w:cs="Times New Roman"/>
                <w:i w:val="0"/>
                <w:iCs w:val="0"/>
                <w:color w:val="auto"/>
                <w:sz w:val="24"/>
                <w:szCs w:val="24"/>
                <w:highlight w:val="none"/>
                <w:lang w:eastAsia="zh-CN"/>
              </w:rPr>
              <w:t>行业</w:t>
            </w:r>
            <w:r>
              <w:rPr>
                <w:rFonts w:hint="eastAsia" w:ascii="Times New Roman" w:hAnsi="Times New Roman" w:eastAsia="黑体" w:cs="Times New Roman"/>
                <w:i w:val="0"/>
                <w:iCs w:val="0"/>
                <w:color w:val="auto"/>
                <w:sz w:val="24"/>
                <w:szCs w:val="24"/>
                <w:highlight w:val="none"/>
                <w:lang w:eastAsia="zh-CN"/>
              </w:rPr>
              <w:t>：</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b/>
                <w:bCs/>
                <w:color w:val="auto"/>
                <w:sz w:val="24"/>
                <w:szCs w:val="24"/>
                <w:highlight w:val="none"/>
                <w:lang w:val="en-US" w:eastAsia="zh-CN"/>
              </w:rPr>
              <w:t>先进技术攻关：</w:t>
            </w:r>
            <w:r>
              <w:rPr>
                <w:rFonts w:hint="eastAsia" w:ascii="楷体_GB2312" w:hAnsi="楷体_GB2312" w:eastAsia="楷体_GB2312" w:cs="楷体_GB2312"/>
                <w:color w:val="auto"/>
                <w:sz w:val="24"/>
                <w:szCs w:val="24"/>
                <w:highlight w:val="none"/>
                <w:lang w:val="en-US" w:eastAsia="zh-CN"/>
              </w:rPr>
              <w:t>开发硝酸法磷肥、工业磷酸一铵及联产净化磷酸技术，节约硫资源，不产生磷石膏。开发利用中低品位磷矿生产农用聚磷酸铵及其复合肥料技术。开发尾矿和渣酸综合利用技术，制备聚磷酸钙镁、聚磷酸铵钙镁等产品。推动磷肥工艺与废弃生物质资源化利用技术耦合，生产新型有机磷铵产品。</w:t>
            </w:r>
          </w:p>
          <w:p>
            <w:pPr>
              <w:widowControl w:val="0"/>
              <w:wordWrap/>
              <w:adjustRightInd/>
              <w:snapToGrid/>
              <w:spacing w:before="0" w:beforeAutospacing="0" w:after="0" w:afterAutospacing="0" w:line="500" w:lineRule="exact"/>
              <w:ind w:left="0" w:leftChars="0" w:right="0" w:firstLine="481" w:firstLineChars="200"/>
              <w:jc w:val="both"/>
              <w:textAlignment w:val="auto"/>
              <w:outlineLvl w:val="9"/>
              <w:rPr>
                <w:rFonts w:hint="default" w:ascii="Times New Roman" w:hAnsi="Times New Roman" w:eastAsia="楷体_GB2312" w:cs="Times New Roman"/>
                <w:color w:val="auto"/>
                <w:sz w:val="24"/>
                <w:szCs w:val="24"/>
                <w:highlight w:val="none"/>
                <w:lang w:eastAsia="zh-CN"/>
              </w:rPr>
            </w:pPr>
            <w:r>
              <w:rPr>
                <w:rFonts w:hint="eastAsia" w:ascii="楷体_GB2312" w:hAnsi="楷体_GB2312" w:eastAsia="楷体_GB2312" w:cs="楷体_GB2312"/>
                <w:b/>
                <w:bCs/>
                <w:color w:val="auto"/>
                <w:sz w:val="24"/>
                <w:szCs w:val="24"/>
                <w:highlight w:val="none"/>
                <w:lang w:eastAsia="zh-CN"/>
              </w:rPr>
              <w:t>成熟工艺技术装备推广</w:t>
            </w:r>
            <w:r>
              <w:rPr>
                <w:rFonts w:hint="eastAsia" w:ascii="楷体_GB2312" w:hAnsi="楷体_GB2312" w:eastAsia="楷体_GB2312" w:cs="楷体_GB2312"/>
                <w:b/>
                <w:bCs/>
                <w:color w:val="auto"/>
                <w:sz w:val="24"/>
                <w:szCs w:val="24"/>
                <w:highlight w:val="none"/>
                <w:lang w:val="en-US" w:eastAsia="zh-CN"/>
              </w:rPr>
              <w:t>：</w:t>
            </w:r>
            <w:r>
              <w:rPr>
                <w:rFonts w:hint="eastAsia" w:ascii="楷体_GB2312" w:hAnsi="楷体_GB2312" w:eastAsia="楷体_GB2312" w:cs="楷体_GB2312"/>
                <w:color w:val="auto"/>
                <w:sz w:val="24"/>
                <w:szCs w:val="24"/>
                <w:highlight w:val="none"/>
                <w:lang w:val="en-US" w:eastAsia="zh-CN"/>
              </w:rPr>
              <w:t>加强磷铵先进工艺技术的开发和应用。采用半水—二水法/半水法湿法磷酸工艺改造现有二水法湿法磷酸生产装置，推进单（双）管式反应器生产工艺改造。提升磷酸选矿、萃取、过滤工艺水平，强化过程控制，优化工艺流程和设备配置，降低磷铵单位产品能耗。</w:t>
            </w:r>
          </w:p>
        </w:tc>
      </w:tr>
    </w:tbl>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（五）加快推进产业</w:t>
      </w:r>
      <w:r>
        <w:rPr>
          <w:rFonts w:hint="eastAsia" w:ascii="Times New Roman" w:hAnsi="Times New Roman" w:eastAsia="楷体_GB2312" w:cs="Times New Roman"/>
          <w:color w:val="auto"/>
          <w:sz w:val="32"/>
          <w:szCs w:val="32"/>
          <w:highlight w:val="none"/>
          <w:lang w:eastAsia="zh-CN"/>
        </w:rPr>
        <w:t>集约集群发展</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以优化产业发展层次，提升</w:t>
      </w:r>
      <w:r>
        <w:rPr>
          <w:rFonts w:hint="eastAsia" w:ascii="仿宋_GB2312" w:hAnsi="仿宋_GB2312" w:eastAsia="仿宋_GB2312" w:cs="仿宋_GB2312"/>
          <w:color w:val="auto"/>
          <w:sz w:val="32"/>
          <w:szCs w:val="32"/>
          <w:highlight w:val="none"/>
          <w:lang w:val="en-US" w:eastAsia="zh-CN"/>
        </w:rPr>
        <w:t>石化化工</w:t>
      </w:r>
      <w:r>
        <w:rPr>
          <w:rFonts w:hint="eastAsia" w:ascii="仿宋_GB2312" w:hAnsi="仿宋_GB2312" w:eastAsia="仿宋_GB2312" w:cs="仿宋_GB2312"/>
          <w:color w:val="auto"/>
          <w:sz w:val="32"/>
          <w:szCs w:val="32"/>
          <w:highlight w:val="none"/>
          <w:lang w:eastAsia="zh-CN"/>
        </w:rPr>
        <w:t>领域能效水平为导向，做好“三线一单”生态环境分区管控、环境准入、节能审查与能耗双控政策的衔接，</w:t>
      </w:r>
      <w:r>
        <w:rPr>
          <w:rFonts w:hint="eastAsia" w:ascii="仿宋_GB2312" w:hAnsi="仿宋_GB2312" w:eastAsia="仿宋_GB2312" w:cs="仿宋_GB2312"/>
          <w:color w:val="auto"/>
          <w:kern w:val="0"/>
          <w:sz w:val="32"/>
          <w:szCs w:val="32"/>
          <w:lang w:val="en-US" w:eastAsia="zh-CN"/>
        </w:rPr>
        <w:t>引导石化化工生产企业向化工园区转移，</w:t>
      </w:r>
      <w:r>
        <w:rPr>
          <w:rFonts w:hint="eastAsia" w:ascii="仿宋_GB2312" w:hAnsi="仿宋_GB2312" w:eastAsia="仿宋_GB2312" w:cs="仿宋_GB2312"/>
          <w:color w:val="auto"/>
          <w:sz w:val="32"/>
          <w:szCs w:val="32"/>
          <w:highlight w:val="none"/>
          <w:lang w:eastAsia="zh-CN"/>
        </w:rPr>
        <w:t>鼓励不同行业和产业链上下游融合发展，提高集约化、现代化水平，形成规模效益，提升能源环境等基础设施使用效率，降低单位产品能耗和碳排放。</w:t>
      </w:r>
      <w:r>
        <w:rPr>
          <w:rFonts w:hint="eastAsia" w:ascii="仿宋_GB2312" w:hAnsi="仿宋_GB2312" w:eastAsia="仿宋_GB2312" w:cs="仿宋_GB2312"/>
          <w:color w:val="auto"/>
          <w:kern w:val="0"/>
          <w:sz w:val="32"/>
          <w:szCs w:val="32"/>
          <w:lang w:val="en-US" w:eastAsia="zh-CN"/>
        </w:rPr>
        <w:t>坚持炼化一体化、煤化电热一体化和多联产发展方向，鼓励石化化工行业上中下游融合发展，构建企业首尾相连、互为供需和生产装置互联互通的产业链，</w:t>
      </w:r>
      <w:r>
        <w:rPr>
          <w:rFonts w:hint="eastAsia" w:ascii="仿宋_GB2312" w:hAnsi="仿宋_GB2312" w:eastAsia="仿宋_GB2312" w:cs="仿宋_GB2312"/>
          <w:color w:val="auto"/>
          <w:sz w:val="32"/>
          <w:szCs w:val="32"/>
          <w:highlight w:val="none"/>
          <w:lang w:eastAsia="zh-CN"/>
        </w:rPr>
        <w:t>提高资源综合利用水平，</w:t>
      </w:r>
      <w:r>
        <w:rPr>
          <w:rFonts w:hint="eastAsia" w:ascii="仿宋_GB2312" w:hAnsi="仿宋_GB2312" w:eastAsia="仿宋_GB2312" w:cs="仿宋_GB2312"/>
          <w:color w:val="auto"/>
          <w:kern w:val="0"/>
          <w:sz w:val="32"/>
          <w:szCs w:val="32"/>
          <w:lang w:val="en-US" w:eastAsia="zh-CN"/>
        </w:rPr>
        <w:t>减少物流运输能源消耗，实现协同节能降碳。</w:t>
      </w:r>
      <w:r>
        <w:rPr>
          <w:rFonts w:hint="default" w:ascii="Times New Roman" w:hAnsi="Times New Roman" w:eastAsia="楷体_GB2312" w:cs="Times New Roman"/>
          <w:color w:val="auto"/>
          <w:sz w:val="32"/>
          <w:szCs w:val="32"/>
          <w:highlight w:val="none"/>
          <w:lang w:eastAsia="zh-CN"/>
        </w:rPr>
        <w:t>（省发展改革委、省工信厅、省生态环境厅按职责分工负责）</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三、保障措施</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（一）健全工作机制</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构建省、市（州）、县（区）三级统筹联动的协同工作机制，统筹推动节能降碳技术改造工作的贯彻落实。要定期跟进企业技术改造项目进展，保障其合理的用地、用能、环保等要素需求，积极协助企业解决项目实施过程中存在的困难和问题，推动项目顺利实施。</w:t>
      </w:r>
      <w:r>
        <w:rPr>
          <w:rFonts w:hint="default" w:ascii="Times New Roman" w:hAnsi="Times New Roman" w:eastAsia="楷体_GB2312" w:cs="Times New Roman"/>
          <w:color w:val="auto"/>
          <w:sz w:val="32"/>
          <w:szCs w:val="32"/>
          <w:highlight w:val="none"/>
          <w:lang w:eastAsia="zh-CN"/>
        </w:rPr>
        <w:t>（省发展改革委、省工信厅、省生态环境厅、省自然资源厅按职责分工负责）</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（二）加大政策支持</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落实节能专用装备、技术改造、资源综合利用等方面税收优惠政策。积极争取国家政策资金支持企业开展节能降碳技术改造。</w:t>
      </w:r>
      <w:r>
        <w:rPr>
          <w:rFonts w:hint="eastAsia" w:ascii="Times New Roman" w:hAnsi="Times New Roman" w:eastAsia="仿宋_GB2312" w:cs="Times New Roman"/>
          <w:color w:val="auto"/>
          <w:kern w:val="0"/>
          <w:sz w:val="32"/>
          <w:szCs w:val="32"/>
          <w:highlight w:val="none"/>
          <w:lang w:val="en-US" w:eastAsia="zh-CN"/>
        </w:rPr>
        <w:t>鼓励</w:t>
      </w:r>
      <w:r>
        <w:rPr>
          <w:rFonts w:hint="default" w:ascii="Times New Roman" w:hAnsi="Times New Roman" w:eastAsia="仿宋_GB2312" w:cs="Times New Roman"/>
          <w:color w:val="auto"/>
          <w:kern w:val="0"/>
          <w:sz w:val="32"/>
          <w:szCs w:val="32"/>
          <w:highlight w:val="none"/>
          <w:lang w:val="en-US" w:eastAsia="zh-CN"/>
        </w:rPr>
        <w:t>金融机构加大对符合条件的节能降碳技术改造项目给予融资支持</w:t>
      </w:r>
      <w:r>
        <w:rPr>
          <w:rFonts w:hint="default" w:ascii="Times New Roman" w:hAnsi="Times New Roman" w:eastAsia="仿宋_GB2312" w:cs="Times New Roman"/>
          <w:color w:val="auto"/>
          <w:sz w:val="32"/>
          <w:szCs w:val="32"/>
          <w:highlight w:val="none"/>
          <w:lang w:eastAsia="zh-CN"/>
        </w:rPr>
        <w:t>。落实促进首台（套）重大技术装备示范应用、</w:t>
      </w:r>
      <w:r>
        <w:rPr>
          <w:rFonts w:hint="default" w:ascii="Times New Roman" w:hAnsi="Times New Roman" w:eastAsia="仿宋_GB2312" w:cs="Times New Roman"/>
          <w:color w:val="auto"/>
          <w:sz w:val="32"/>
          <w:szCs w:val="32"/>
          <w:highlight w:val="none"/>
          <w:lang w:val="en-US" w:eastAsia="zh-CN"/>
        </w:rPr>
        <w:t>鼓励重点新材料首批次应用</w:t>
      </w:r>
      <w:r>
        <w:rPr>
          <w:rFonts w:hint="default" w:ascii="Times New Roman" w:hAnsi="Times New Roman" w:eastAsia="仿宋_GB2312" w:cs="Times New Roman"/>
          <w:color w:val="auto"/>
          <w:sz w:val="32"/>
          <w:szCs w:val="32"/>
          <w:highlight w:val="none"/>
          <w:lang w:eastAsia="zh-CN"/>
        </w:rPr>
        <w:t>的税收、金融、保险等支持政策，推动绿色低碳重大技术装备和材料的研发制造和应用推广。</w:t>
      </w:r>
      <w:r>
        <w:rPr>
          <w:rFonts w:hint="default" w:ascii="Times New Roman" w:hAnsi="Times New Roman" w:eastAsia="楷体_GB2312" w:cs="Times New Roman"/>
          <w:color w:val="auto"/>
          <w:sz w:val="32"/>
          <w:szCs w:val="32"/>
          <w:highlight w:val="none"/>
          <w:lang w:eastAsia="zh-CN"/>
        </w:rPr>
        <w:t>（省税务局、省发展改革委、省工信厅、省财政厅、省生态环境厅、人民银行兰州中心支行、甘肃银保监局、甘肃证监局按职责分工负责）</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（三）发挥政策合力</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做好重点领域节能改造与产业结构调整、环境准入、节能审查、能耗双控</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遏制“两高”项目盲目发展等工作的衔接，通过节能审查、能效对标、节能监察、工业节能诊断、环保核查等手段，加强企业能效监管力度</w:t>
      </w:r>
      <w:r>
        <w:rPr>
          <w:rFonts w:hint="eastAsia" w:ascii="仿宋_GB2312" w:hAnsi="仿宋_GB2312" w:eastAsia="仿宋_GB2312" w:cs="仿宋_GB2312"/>
          <w:color w:val="auto"/>
          <w:kern w:val="0"/>
          <w:sz w:val="32"/>
          <w:szCs w:val="32"/>
          <w:highlight w:val="none"/>
          <w:lang w:val="en-US" w:eastAsia="zh-CN"/>
        </w:rPr>
        <w:t>，加强高耗能项目源头防控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认真落实阶梯电价政策，</w:t>
      </w:r>
      <w:r>
        <w:rPr>
          <w:rFonts w:hint="eastAsia" w:ascii="仿宋_GB2312" w:hAnsi="仿宋_GB2312" w:eastAsia="仿宋_GB2312" w:cs="仿宋_GB2312"/>
          <w:color w:val="auto"/>
          <w:sz w:val="32"/>
          <w:szCs w:val="32"/>
          <w:highlight w:val="none"/>
          <w:lang w:eastAsia="zh-CN"/>
        </w:rPr>
        <w:t>有效强化电价信号引导作用，倒逼企业加快提升能效水平。</w:t>
      </w:r>
      <w:r>
        <w:rPr>
          <w:rFonts w:hint="default" w:ascii="Times New Roman" w:hAnsi="Times New Roman" w:eastAsia="楷体_GB2312" w:cs="Times New Roman"/>
          <w:color w:val="auto"/>
          <w:sz w:val="32"/>
          <w:szCs w:val="32"/>
          <w:highlight w:val="none"/>
          <w:lang w:eastAsia="zh-CN"/>
        </w:rPr>
        <w:t>（省发展改革委、省工信厅、省生态环境厅、省自然资源厅按职责分工负责）</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（四）强化监督管理</w:t>
      </w:r>
    </w:p>
    <w:p>
      <w:pPr>
        <w:widowControl w:val="0"/>
        <w:wordWrap/>
        <w:overflowPunct w:val="0"/>
        <w:adjustRightInd/>
        <w:snapToGrid/>
        <w:spacing w:line="240" w:lineRule="auto"/>
        <w:ind w:left="0" w:leftChars="0" w:right="0" w:firstLine="640" w:firstLineChars="0"/>
        <w:jc w:val="both"/>
        <w:textAlignment w:val="auto"/>
        <w:outlineLvl w:val="9"/>
        <w:rPr>
          <w:rFonts w:hint="default" w:ascii="Times New Roman" w:hAnsi="Times New Roman" w:cs="Times New Roman"/>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突出</w:t>
      </w:r>
      <w:r>
        <w:rPr>
          <w:rFonts w:hint="default" w:ascii="Times New Roman" w:hAnsi="Times New Roman" w:eastAsia="仿宋_GB2312" w:cs="Times New Roman"/>
          <w:color w:val="auto"/>
          <w:sz w:val="32"/>
          <w:szCs w:val="32"/>
          <w:highlight w:val="none"/>
          <w:lang w:val="en-US" w:eastAsia="zh-CN"/>
        </w:rPr>
        <w:t>源头把控，</w:t>
      </w:r>
      <w:r>
        <w:rPr>
          <w:rFonts w:hint="default" w:ascii="Times New Roman" w:hAnsi="Times New Roman" w:eastAsia="仿宋_GB2312" w:cs="Times New Roman"/>
          <w:color w:val="auto"/>
          <w:sz w:val="32"/>
          <w:szCs w:val="32"/>
          <w:highlight w:val="none"/>
          <w:lang w:eastAsia="zh-CN"/>
        </w:rPr>
        <w:t>加强对重点行业能效水平执行情况的日常监测和现场检查，统筹推进重点行业节能监察，</w:t>
      </w:r>
      <w:r>
        <w:rPr>
          <w:rFonts w:hint="eastAsia" w:ascii="Times New Roman" w:hAnsi="Times New Roman" w:eastAsia="仿宋_GB2312" w:cs="Times New Roman"/>
          <w:color w:val="auto"/>
          <w:sz w:val="32"/>
          <w:szCs w:val="32"/>
          <w:highlight w:val="none"/>
          <w:lang w:eastAsia="zh-CN"/>
        </w:rPr>
        <w:t>技术改造</w:t>
      </w:r>
      <w:r>
        <w:rPr>
          <w:rFonts w:hint="default" w:ascii="Times New Roman" w:hAnsi="Times New Roman" w:eastAsia="仿宋_GB2312" w:cs="Times New Roman"/>
          <w:color w:val="auto"/>
          <w:sz w:val="32"/>
          <w:szCs w:val="32"/>
          <w:highlight w:val="none"/>
          <w:lang w:val="en-US" w:eastAsia="zh-CN"/>
        </w:rPr>
        <w:t>项目完成后</w:t>
      </w:r>
      <w:r>
        <w:rPr>
          <w:rFonts w:hint="eastAsia" w:ascii="Times New Roman" w:hAnsi="Times New Roman" w:eastAsia="仿宋_GB2312" w:cs="Times New Roman"/>
          <w:color w:val="auto"/>
          <w:sz w:val="32"/>
          <w:szCs w:val="32"/>
          <w:highlight w:val="none"/>
          <w:lang w:val="en-US" w:eastAsia="zh-CN"/>
        </w:rPr>
        <w:t>及时</w:t>
      </w:r>
      <w:r>
        <w:rPr>
          <w:rFonts w:hint="default" w:ascii="Times New Roman" w:hAnsi="Times New Roman" w:eastAsia="仿宋_GB2312" w:cs="Times New Roman"/>
          <w:color w:val="auto"/>
          <w:sz w:val="32"/>
          <w:szCs w:val="32"/>
          <w:highlight w:val="none"/>
          <w:lang w:val="en-US" w:eastAsia="zh-CN"/>
        </w:rPr>
        <w:t>进行能效评估，</w:t>
      </w:r>
      <w:r>
        <w:rPr>
          <w:rFonts w:hint="default" w:ascii="Times New Roman" w:hAnsi="Times New Roman" w:eastAsia="仿宋_GB2312" w:cs="Times New Roman"/>
          <w:color w:val="auto"/>
          <w:sz w:val="32"/>
          <w:szCs w:val="32"/>
          <w:highlight w:val="none"/>
          <w:lang w:eastAsia="zh-CN"/>
        </w:rPr>
        <w:t>确保相关政策要求执行到位。</w:t>
      </w:r>
      <w:r>
        <w:rPr>
          <w:rFonts w:hint="eastAsia" w:ascii="Times New Roman" w:hAnsi="Times New Roman" w:eastAsia="仿宋_GB2312" w:cs="Times New Roman"/>
          <w:color w:val="auto"/>
          <w:sz w:val="32"/>
          <w:szCs w:val="32"/>
          <w:highlight w:val="none"/>
          <w:lang w:eastAsia="zh-CN"/>
        </w:rPr>
        <w:t>运用</w:t>
      </w:r>
      <w:r>
        <w:rPr>
          <w:rFonts w:hint="default" w:ascii="Times New Roman" w:hAnsi="Times New Roman" w:eastAsia="仿宋_GB2312" w:cs="Times New Roman"/>
          <w:color w:val="auto"/>
          <w:sz w:val="32"/>
          <w:szCs w:val="32"/>
          <w:highlight w:val="none"/>
          <w:lang w:eastAsia="zh-CN"/>
        </w:rPr>
        <w:t>通报批评、用能预警、约谈问责、整改督办等工作机制，</w:t>
      </w:r>
      <w:r>
        <w:rPr>
          <w:rFonts w:hint="eastAsia" w:ascii="Times New Roman" w:hAnsi="Times New Roman" w:eastAsia="仿宋_GB2312" w:cs="Times New Roman"/>
          <w:color w:val="auto"/>
          <w:sz w:val="32"/>
          <w:szCs w:val="32"/>
          <w:highlight w:val="none"/>
          <w:lang w:eastAsia="zh-CN"/>
        </w:rPr>
        <w:t>进一步</w:t>
      </w:r>
      <w:r>
        <w:rPr>
          <w:rFonts w:hint="default" w:ascii="Times New Roman" w:hAnsi="Times New Roman" w:eastAsia="仿宋_GB2312" w:cs="Times New Roman"/>
          <w:color w:val="auto"/>
          <w:sz w:val="32"/>
          <w:szCs w:val="32"/>
          <w:highlight w:val="none"/>
          <w:lang w:eastAsia="zh-CN"/>
        </w:rPr>
        <w:t>压实属地监管责任和企业主体责任。发挥信用信息共享平台作用，加强对违规企业的失信联合惩戒。</w:t>
      </w:r>
      <w:r>
        <w:rPr>
          <w:rFonts w:hint="default" w:ascii="Times New Roman" w:hAnsi="Times New Roman" w:eastAsia="楷体_GB2312" w:cs="Times New Roman"/>
          <w:color w:val="auto"/>
          <w:sz w:val="32"/>
          <w:szCs w:val="32"/>
          <w:highlight w:val="none"/>
          <w:lang w:eastAsia="zh-CN"/>
        </w:rPr>
        <w:t>（省工信厅、省发展改革委、省市场监管局按职责分工负责）</w:t>
      </w:r>
      <w:r>
        <w:rPr>
          <w:rFonts w:hint="default" w:ascii="Times New Roman" w:hAnsi="Times New Roman" w:cs="Times New Roman"/>
          <w:color w:val="auto"/>
          <w:highlight w:val="none"/>
          <w:lang w:val="en-US" w:eastAsia="zh-CN"/>
        </w:rPr>
        <w:t xml:space="preserve">   </w:t>
      </w:r>
    </w:p>
    <w:p>
      <w:pPr>
        <w:widowControl w:val="0"/>
        <w:wordWrap/>
        <w:adjustRightInd/>
        <w:snapToGrid/>
        <w:spacing w:line="240" w:lineRule="auto"/>
        <w:ind w:left="0" w:leftChars="0" w:right="0" w:firstLine="64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pPr>
        <w:widowControl w:val="0"/>
        <w:wordWrap/>
        <w:adjustRightInd/>
        <w:snapToGrid/>
        <w:spacing w:line="240" w:lineRule="auto"/>
        <w:ind w:left="0" w:leftChars="0" w:right="0" w:firstLine="64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附件：甘肃省石化化工领域企业技术改造清单</w:t>
      </w:r>
    </w:p>
    <w:p>
      <w:pPr>
        <w:widowControl w:val="0"/>
        <w:wordWrap/>
        <w:adjustRightInd/>
        <w:snapToGrid/>
        <w:spacing w:line="240" w:lineRule="auto"/>
        <w:ind w:left="0" w:leftChars="0" w:right="0" w:firstLine="640"/>
        <w:jc w:val="both"/>
        <w:textAlignment w:val="auto"/>
        <w:outlineLvl w:val="9"/>
        <w:rPr>
          <w:rFonts w:hint="eastAsia" w:ascii="Times New Roman" w:hAnsi="Times New Roman" w:eastAsia="仿宋_GB2312" w:cs="Times New Roman"/>
          <w:color w:val="auto"/>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widowControl w:val="0"/>
        <w:wordWrap/>
        <w:adjustRightInd/>
        <w:snapToGrid/>
        <w:spacing w:line="240" w:lineRule="auto"/>
        <w:ind w:right="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附件</w:t>
      </w:r>
    </w:p>
    <w:p>
      <w:pPr>
        <w:widowControl w:val="0"/>
        <w:wordWrap/>
        <w:adjustRightInd/>
        <w:snapToGrid/>
        <w:spacing w:line="240" w:lineRule="auto"/>
        <w:ind w:right="0"/>
        <w:jc w:val="center"/>
        <w:textAlignment w:val="auto"/>
        <w:outlineLvl w:val="9"/>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甘肃省</w:t>
      </w:r>
      <w:r>
        <w:rPr>
          <w:rFonts w:hint="eastAsia" w:ascii="方正小标宋简体" w:hAnsi="方正小标宋简体" w:eastAsia="方正小标宋简体" w:cs="方正小标宋简体"/>
          <w:color w:val="auto"/>
          <w:sz w:val="32"/>
          <w:szCs w:val="32"/>
          <w:highlight w:val="none"/>
          <w:lang w:val="en-US" w:eastAsia="zh-CN"/>
        </w:rPr>
        <w:t>石化化工</w:t>
      </w:r>
      <w:r>
        <w:rPr>
          <w:rFonts w:hint="eastAsia" w:ascii="方正小标宋简体" w:hAnsi="方正小标宋简体" w:eastAsia="方正小标宋简体" w:cs="方正小标宋简体"/>
          <w:color w:val="auto"/>
          <w:sz w:val="32"/>
          <w:szCs w:val="32"/>
          <w:highlight w:val="none"/>
          <w:lang w:eastAsia="zh-CN"/>
        </w:rPr>
        <w:t>领域企业技术改造清单</w:t>
      </w:r>
    </w:p>
    <w:tbl>
      <w:tblPr>
        <w:tblStyle w:val="5"/>
        <w:tblW w:w="15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8"/>
        <w:gridCol w:w="894"/>
        <w:gridCol w:w="1110"/>
        <w:gridCol w:w="840"/>
        <w:gridCol w:w="1245"/>
        <w:gridCol w:w="1155"/>
        <w:gridCol w:w="915"/>
        <w:gridCol w:w="2205"/>
        <w:gridCol w:w="1170"/>
        <w:gridCol w:w="2460"/>
        <w:gridCol w:w="2445"/>
        <w:gridCol w:w="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序</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lang w:val="en-US"/>
              </w:rPr>
            </w:pPr>
            <w:r>
              <w:rPr>
                <w:rFonts w:hint="eastAsia" w:ascii="黑体" w:hAnsi="黑体" w:eastAsia="黑体" w:cs="黑体"/>
                <w:b w:val="0"/>
                <w:bCs w:val="0"/>
                <w:i w:val="0"/>
                <w:iCs w:val="0"/>
                <w:color w:val="auto"/>
                <w:kern w:val="0"/>
                <w:sz w:val="18"/>
                <w:szCs w:val="18"/>
                <w:highlight w:val="none"/>
                <w:u w:val="none"/>
                <w:lang w:val="en-US" w:eastAsia="zh-CN"/>
              </w:rPr>
              <w:t>号</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所属重</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点领域</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企业名称</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所在</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地区</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项目名称</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技改投资</w:t>
            </w:r>
            <w:r>
              <w:rPr>
                <w:rFonts w:hint="eastAsia" w:ascii="黑体" w:hAnsi="黑体" w:eastAsia="黑体" w:cs="黑体"/>
                <w:b w:val="0"/>
                <w:bCs w:val="0"/>
                <w:i w:val="0"/>
                <w:iCs w:val="0"/>
                <w:color w:val="auto"/>
                <w:kern w:val="0"/>
                <w:sz w:val="18"/>
                <w:szCs w:val="18"/>
                <w:highlight w:val="none"/>
                <w:u w:val="none"/>
                <w:lang w:val="en-US" w:eastAsia="zh-CN"/>
              </w:rPr>
              <w:br w:type="textWrapping"/>
            </w:r>
            <w:r>
              <w:rPr>
                <w:rFonts w:hint="eastAsia" w:ascii="黑体" w:hAnsi="黑体" w:eastAsia="黑体" w:cs="黑体"/>
                <w:b w:val="0"/>
                <w:bCs w:val="0"/>
                <w:i w:val="0"/>
                <w:iCs w:val="0"/>
                <w:color w:val="auto"/>
                <w:kern w:val="0"/>
                <w:sz w:val="18"/>
                <w:szCs w:val="18"/>
                <w:highlight w:val="none"/>
                <w:u w:val="none"/>
                <w:lang w:val="en-US" w:eastAsia="zh-CN"/>
              </w:rPr>
              <w:t>总额(万元)</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资金</w:t>
            </w:r>
            <w:r>
              <w:rPr>
                <w:rFonts w:hint="eastAsia" w:ascii="黑体" w:hAnsi="黑体" w:eastAsia="黑体" w:cs="黑体"/>
                <w:b w:val="0"/>
                <w:bCs w:val="0"/>
                <w:i w:val="0"/>
                <w:iCs w:val="0"/>
                <w:color w:val="auto"/>
                <w:kern w:val="0"/>
                <w:sz w:val="18"/>
                <w:szCs w:val="18"/>
                <w:highlight w:val="none"/>
                <w:u w:val="none"/>
                <w:lang w:val="en-US" w:eastAsia="zh-CN"/>
              </w:rPr>
              <w:br w:type="textWrapping"/>
            </w:r>
            <w:r>
              <w:rPr>
                <w:rFonts w:hint="eastAsia" w:ascii="黑体" w:hAnsi="黑体" w:eastAsia="黑体" w:cs="黑体"/>
                <w:b w:val="0"/>
                <w:bCs w:val="0"/>
                <w:i w:val="0"/>
                <w:iCs w:val="0"/>
                <w:color w:val="auto"/>
                <w:kern w:val="0"/>
                <w:sz w:val="18"/>
                <w:szCs w:val="18"/>
                <w:highlight w:val="none"/>
                <w:u w:val="none"/>
                <w:lang w:val="en-US" w:eastAsia="zh-CN"/>
              </w:rPr>
              <w:t>来源</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工艺技术路线</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实施时间</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当前能效水平及</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所属能效范围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kern w:val="0"/>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改造后预期能效水平及</w:t>
            </w:r>
          </w:p>
          <w:p>
            <w:pPr>
              <w:widowControl/>
              <w:wordWrap/>
              <w:adjustRightInd/>
              <w:snapToGrid/>
              <w:spacing w:before="0" w:beforeAutospacing="0" w:after="0" w:afterAutospacing="0" w:line="240" w:lineRule="exact"/>
              <w:ind w:left="0" w:right="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rPr>
              <w:t>所属能效范围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黑体" w:hAnsi="黑体" w:eastAsia="黑体" w:cs="黑体"/>
                <w:b w:val="0"/>
                <w:bCs w:val="0"/>
                <w:i w:val="0"/>
                <w:iCs w:val="0"/>
                <w:color w:val="auto"/>
                <w:kern w:val="0"/>
                <w:sz w:val="18"/>
                <w:szCs w:val="18"/>
                <w:highlight w:val="none"/>
                <w:u w:val="none"/>
                <w:lang w:eastAsia="zh-CN"/>
              </w:rPr>
            </w:pPr>
            <w:r>
              <w:rPr>
                <w:rFonts w:hint="default" w:ascii="黑体" w:hAnsi="黑体" w:eastAsia="黑体" w:cs="黑体"/>
                <w:b w:val="0"/>
                <w:bCs w:val="0"/>
                <w:i w:val="0"/>
                <w:iCs w:val="0"/>
                <w:color w:val="auto"/>
                <w:kern w:val="0"/>
                <w:sz w:val="18"/>
                <w:szCs w:val="18"/>
                <w:highlight w:val="none"/>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817"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b/>
                <w:bCs/>
                <w:i w:val="0"/>
                <w:iCs w:val="0"/>
                <w:color w:val="auto"/>
                <w:kern w:val="0"/>
                <w:sz w:val="15"/>
                <w:szCs w:val="15"/>
                <w:highlight w:val="none"/>
                <w:u w:val="none"/>
                <w:lang w:val="en-US" w:eastAsia="zh-CN"/>
              </w:rPr>
            </w:pPr>
            <w:r>
              <w:rPr>
                <w:rFonts w:hint="default" w:ascii="黑体" w:hAnsi="黑体" w:eastAsia="黑体" w:cs="黑体"/>
                <w:b w:val="0"/>
                <w:bCs w:val="0"/>
                <w:i w:val="0"/>
                <w:iCs w:val="0"/>
                <w:color w:val="auto"/>
                <w:kern w:val="0"/>
                <w:sz w:val="18"/>
                <w:szCs w:val="18"/>
                <w:highlight w:val="none"/>
                <w:u w:val="none"/>
                <w:lang w:val="en-US" w:eastAsia="zh-CN"/>
              </w:rPr>
              <w:t>2022年底实施改造完成项目（</w:t>
            </w:r>
            <w:r>
              <w:rPr>
                <w:rFonts w:hint="eastAsia" w:ascii="黑体" w:hAnsi="黑体" w:eastAsia="黑体" w:cs="黑体"/>
                <w:b w:val="0"/>
                <w:bCs w:val="0"/>
                <w:i w:val="0"/>
                <w:iCs w:val="0"/>
                <w:color w:val="auto"/>
                <w:kern w:val="0"/>
                <w:sz w:val="18"/>
                <w:szCs w:val="18"/>
                <w:highlight w:val="none"/>
                <w:u w:val="none"/>
                <w:lang w:val="en-US" w:eastAsia="zh-CN"/>
              </w:rPr>
              <w:t>1</w:t>
            </w:r>
            <w:r>
              <w:rPr>
                <w:rFonts w:hint="default" w:ascii="黑体" w:hAnsi="黑体" w:eastAsia="黑体" w:cs="黑体"/>
                <w:b w:val="0"/>
                <w:bCs w:val="0"/>
                <w:i w:val="0"/>
                <w:iCs w:val="0"/>
                <w:color w:val="auto"/>
                <w:kern w:val="0"/>
                <w:sz w:val="18"/>
                <w:szCs w:val="18"/>
                <w:highlight w:val="none"/>
                <w:u w:val="none"/>
                <w:lang w:val="en-US" w:eastAsia="zh-CN"/>
              </w:rPr>
              <w:t>个）</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both"/>
              <w:textAlignment w:val="center"/>
              <w:rPr>
                <w:rFonts w:hint="default"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1</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炼油</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cs="宋体"/>
                <w:i w:val="0"/>
                <w:iCs w:val="0"/>
                <w:color w:val="auto"/>
                <w:kern w:val="0"/>
                <w:sz w:val="15"/>
                <w:szCs w:val="15"/>
                <w:highlight w:val="none"/>
                <w:u w:val="none"/>
                <w:lang w:val="en-US" w:eastAsia="zh-CN"/>
              </w:rPr>
              <w:t>中国</w:t>
            </w:r>
            <w:r>
              <w:rPr>
                <w:rFonts w:hint="eastAsia" w:ascii="宋体" w:hAnsi="宋体" w:eastAsia="宋体" w:cs="宋体"/>
                <w:i w:val="0"/>
                <w:iCs w:val="0"/>
                <w:color w:val="auto"/>
                <w:kern w:val="0"/>
                <w:sz w:val="15"/>
                <w:szCs w:val="15"/>
                <w:highlight w:val="none"/>
                <w:u w:val="none"/>
                <w:lang w:val="en-US" w:eastAsia="zh-CN"/>
              </w:rPr>
              <w:t>石油</w:t>
            </w:r>
            <w:r>
              <w:rPr>
                <w:rFonts w:hint="default" w:ascii="宋体" w:hAnsi="宋体" w:eastAsia="宋体" w:cs="宋体"/>
                <w:i w:val="0"/>
                <w:iCs w:val="0"/>
                <w:color w:val="auto"/>
                <w:kern w:val="0"/>
                <w:sz w:val="15"/>
                <w:szCs w:val="15"/>
                <w:highlight w:val="none"/>
                <w:u w:val="none"/>
                <w:lang w:val="en-US" w:eastAsia="zh-CN"/>
              </w:rPr>
              <w:t>庆阳石化公司</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庆阳市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西峰区</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常压、重整装置高效加热炉节能改造</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2713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自有资金</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eastAsia="宋体" w:cs="宋体"/>
                <w:i w:val="0"/>
                <w:iCs w:val="0"/>
                <w:color w:val="auto"/>
                <w:kern w:val="0"/>
                <w:sz w:val="15"/>
                <w:szCs w:val="15"/>
                <w:highlight w:val="none"/>
                <w:u w:val="none"/>
                <w:lang w:val="en-US" w:eastAsia="zh-CN"/>
              </w:rPr>
              <w:t>对常压加热炉炉、重整加热炉炉各增设一套燃料气精脱硫设施和配套的烟气余热回收系统，并实施重整四合一炉耐高温节能涂料应用</w:t>
            </w:r>
            <w:r>
              <w:rPr>
                <w:rFonts w:hint="default" w:ascii="宋体" w:hAnsi="宋体" w:cs="宋体"/>
                <w:i w:val="0"/>
                <w:iCs w:val="0"/>
                <w:color w:val="auto"/>
                <w:kern w:val="0"/>
                <w:sz w:val="15"/>
                <w:szCs w:val="15"/>
                <w:highlight w:val="none"/>
                <w:u w:val="none"/>
                <w:lang w:eastAsia="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2022年4月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2022年8月</w:t>
            </w:r>
          </w:p>
        </w:tc>
        <w:tc>
          <w:tcPr>
            <w:tcW w:w="2460" w:type="dxa"/>
            <w:tcBorders>
              <w:top w:val="single" w:color="000000" w:sz="4" w:space="0"/>
              <w:left w:val="single" w:color="000000" w:sz="4" w:space="0"/>
              <w:bottom w:val="nil"/>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单位能量因数综合能耗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7.19千克标油/吨·能量因数</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达到</w:t>
            </w:r>
            <w:r>
              <w:rPr>
                <w:rFonts w:hint="default" w:ascii="宋体" w:hAnsi="宋体" w:eastAsia="宋体" w:cs="宋体"/>
                <w:i w:val="0"/>
                <w:iCs w:val="0"/>
                <w:color w:val="auto"/>
                <w:kern w:val="0"/>
                <w:sz w:val="15"/>
                <w:szCs w:val="15"/>
                <w:highlight w:val="none"/>
                <w:u w:val="none"/>
                <w:lang w:val="en-US" w:eastAsia="zh-CN"/>
              </w:rPr>
              <w:t>标杆水平</w:t>
            </w:r>
            <w:r>
              <w:rPr>
                <w:rFonts w:hint="eastAsia" w:ascii="宋体" w:hAnsi="宋体" w:eastAsia="宋体" w:cs="宋体"/>
                <w:i w:val="0"/>
                <w:iCs w:val="0"/>
                <w:color w:val="auto"/>
                <w:kern w:val="0"/>
                <w:sz w:val="15"/>
                <w:szCs w:val="15"/>
                <w:highlight w:val="none"/>
                <w:u w:val="none"/>
                <w:lang w:val="en-US" w:eastAsia="zh-CN"/>
              </w:rPr>
              <w:t>以上</w:t>
            </w:r>
            <w:r>
              <w:rPr>
                <w:rFonts w:hint="default" w:ascii="宋体" w:hAnsi="宋体" w:eastAsia="宋体" w:cs="宋体"/>
                <w:i w:val="0"/>
                <w:iCs w:val="0"/>
                <w:color w:val="auto"/>
                <w:kern w:val="0"/>
                <w:sz w:val="15"/>
                <w:szCs w:val="15"/>
                <w:highlight w:val="none"/>
                <w:u w:val="none"/>
                <w:lang w:val="en-US" w:eastAsia="zh-CN"/>
              </w:rPr>
              <w:t>）</w:t>
            </w:r>
          </w:p>
        </w:tc>
        <w:tc>
          <w:tcPr>
            <w:tcW w:w="2445" w:type="dxa"/>
            <w:tcBorders>
              <w:top w:val="single" w:color="000000" w:sz="4" w:space="0"/>
              <w:left w:val="single" w:color="000000" w:sz="4" w:space="0"/>
              <w:bottom w:val="nil"/>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单位能量因数综合能耗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7.18千克标油/吨·能量因数</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达到</w:t>
            </w:r>
            <w:r>
              <w:rPr>
                <w:rFonts w:hint="default" w:ascii="宋体" w:hAnsi="宋体" w:eastAsia="宋体" w:cs="宋体"/>
                <w:i w:val="0"/>
                <w:iCs w:val="0"/>
                <w:color w:val="auto"/>
                <w:kern w:val="0"/>
                <w:sz w:val="15"/>
                <w:szCs w:val="15"/>
                <w:highlight w:val="none"/>
                <w:u w:val="none"/>
                <w:lang w:val="en-US" w:eastAsia="zh-CN"/>
              </w:rPr>
              <w:t>标杆水平</w:t>
            </w:r>
            <w:r>
              <w:rPr>
                <w:rFonts w:hint="eastAsia" w:ascii="宋体" w:hAnsi="宋体" w:eastAsia="宋体" w:cs="宋体"/>
                <w:i w:val="0"/>
                <w:iCs w:val="0"/>
                <w:color w:val="auto"/>
                <w:kern w:val="0"/>
                <w:sz w:val="15"/>
                <w:szCs w:val="15"/>
                <w:highlight w:val="none"/>
                <w:u w:val="none"/>
                <w:lang w:val="en-US" w:eastAsia="zh-CN"/>
              </w:rPr>
              <w:t>以上</w:t>
            </w:r>
            <w:r>
              <w:rPr>
                <w:rFonts w:hint="default" w:ascii="宋体" w:hAnsi="宋体" w:eastAsia="宋体" w:cs="宋体"/>
                <w:i w:val="0"/>
                <w:iCs w:val="0"/>
                <w:color w:val="auto"/>
                <w:kern w:val="0"/>
                <w:sz w:val="15"/>
                <w:szCs w:val="15"/>
                <w:highlight w:val="none"/>
                <w:u w:val="none"/>
                <w:lang w:val="en-US" w:eastAsia="zh-CN"/>
              </w:rPr>
              <w:t>）</w:t>
            </w:r>
          </w:p>
        </w:tc>
        <w:tc>
          <w:tcPr>
            <w:tcW w:w="838" w:type="dxa"/>
            <w:tcBorders>
              <w:top w:val="single" w:color="000000" w:sz="4" w:space="0"/>
              <w:left w:val="single" w:color="000000" w:sz="4" w:space="0"/>
              <w:bottom w:val="nil"/>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4817"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2023年底实施改造完成项目（3个）</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2</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炼油</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cs="宋体"/>
                <w:i w:val="0"/>
                <w:iCs w:val="0"/>
                <w:color w:val="auto"/>
                <w:kern w:val="0"/>
                <w:sz w:val="15"/>
                <w:szCs w:val="15"/>
                <w:highlight w:val="none"/>
                <w:u w:val="none"/>
                <w:lang w:val="en-US" w:eastAsia="zh-CN"/>
              </w:rPr>
              <w:t>中国石油</w:t>
            </w:r>
            <w:r>
              <w:rPr>
                <w:rFonts w:hint="default" w:ascii="宋体" w:hAnsi="宋体" w:eastAsia="宋体" w:cs="宋体"/>
                <w:i w:val="0"/>
                <w:iCs w:val="0"/>
                <w:color w:val="auto"/>
                <w:kern w:val="0"/>
                <w:sz w:val="15"/>
                <w:szCs w:val="15"/>
                <w:highlight w:val="none"/>
                <w:u w:val="none"/>
                <w:lang w:val="en-US" w:eastAsia="zh-CN"/>
              </w:rPr>
              <w:t>兰州石化公司</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西固区</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炼油系统节能技术优化改造项目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cs="宋体"/>
                <w:color w:val="auto"/>
                <w:kern w:val="0"/>
                <w:sz w:val="15"/>
                <w:szCs w:val="15"/>
              </w:rPr>
              <w:t>780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自有资金</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cs="宋体"/>
                <w:color w:val="auto"/>
                <w:kern w:val="0"/>
                <w:sz w:val="15"/>
                <w:szCs w:val="15"/>
              </w:rPr>
              <w:t>建设一座集凝结水回收、乏汽余热采暖等余热回收装置；</w:t>
            </w:r>
            <w:r>
              <w:rPr>
                <w:rFonts w:hint="eastAsia" w:ascii="宋体" w:hAnsi="宋体" w:cs="宋体"/>
                <w:color w:val="auto"/>
                <w:kern w:val="0"/>
                <w:sz w:val="15"/>
                <w:szCs w:val="15"/>
              </w:rPr>
              <w:t>优化蒸汽系统运行，夏季炼油区停接外部蒸汽；停运第二空压站，降低炼油区空压系统用电量</w:t>
            </w:r>
            <w:r>
              <w:rPr>
                <w:rFonts w:hint="default" w:ascii="宋体" w:hAnsi="宋体" w:cs="宋体"/>
                <w:color w:val="auto"/>
                <w:kern w:val="0"/>
                <w:sz w:val="15"/>
                <w:szCs w:val="15"/>
              </w:rPr>
              <w:t>。</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2023年12月</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单位能量因数综合能耗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8.4951千克标准油/吨·因数</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位于</w:t>
            </w:r>
            <w:r>
              <w:rPr>
                <w:rFonts w:hint="default" w:ascii="宋体" w:hAnsi="宋体" w:eastAsia="宋体" w:cs="宋体"/>
                <w:i w:val="0"/>
                <w:iCs w:val="0"/>
                <w:color w:val="auto"/>
                <w:kern w:val="0"/>
                <w:sz w:val="15"/>
                <w:szCs w:val="15"/>
                <w:highlight w:val="none"/>
                <w:u w:val="none"/>
                <w:lang w:val="en-US" w:eastAsia="zh-CN"/>
              </w:rPr>
              <w:t>基准水平和标杆水平之间）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单位能量因数综合能耗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8.25千克标准油/吨·因数</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位</w:t>
            </w:r>
            <w:r>
              <w:rPr>
                <w:rFonts w:hint="default" w:ascii="宋体" w:hAnsi="宋体" w:eastAsia="宋体" w:cs="宋体"/>
                <w:i w:val="0"/>
                <w:iCs w:val="0"/>
                <w:color w:val="auto"/>
                <w:kern w:val="0"/>
                <w:sz w:val="15"/>
                <w:szCs w:val="15"/>
                <w:highlight w:val="none"/>
                <w:u w:val="none"/>
                <w:lang w:val="en-US" w:eastAsia="zh-CN"/>
              </w:rPr>
              <w:t>于基准水平与标杆水平之间）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3</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乙烯</w:t>
            </w:r>
            <w:r>
              <w:rPr>
                <w:rFonts w:hint="default" w:ascii="宋体" w:hAnsi="宋体" w:eastAsia="宋体" w:cs="宋体"/>
                <w:i w:val="0"/>
                <w:iCs w:val="0"/>
                <w:color w:val="auto"/>
                <w:kern w:val="0"/>
                <w:sz w:val="15"/>
                <w:szCs w:val="15"/>
                <w:highlight w:val="none"/>
                <w:u w:val="none"/>
                <w:lang w:val="en-US" w:eastAsia="zh-CN"/>
              </w:rPr>
              <w:br w:type="textWrapping"/>
            </w:r>
            <w:r>
              <w:rPr>
                <w:rFonts w:hint="default" w:ascii="宋体" w:hAnsi="宋体" w:eastAsia="宋体" w:cs="宋体"/>
                <w:i w:val="0"/>
                <w:iCs w:val="0"/>
                <w:color w:val="auto"/>
                <w:kern w:val="0"/>
                <w:sz w:val="15"/>
                <w:szCs w:val="15"/>
                <w:highlight w:val="none"/>
                <w:u w:val="none"/>
                <w:lang w:val="en-US" w:eastAsia="zh-CN"/>
              </w:rPr>
              <w:t>（石脑烃类）</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cs="宋体"/>
                <w:i w:val="0"/>
                <w:iCs w:val="0"/>
                <w:color w:val="auto"/>
                <w:kern w:val="0"/>
                <w:sz w:val="15"/>
                <w:szCs w:val="15"/>
                <w:highlight w:val="none"/>
                <w:u w:val="none"/>
                <w:lang w:val="en-US" w:eastAsia="zh-CN"/>
              </w:rPr>
              <w:t>中国石油</w:t>
            </w:r>
            <w:r>
              <w:rPr>
                <w:rFonts w:hint="default" w:ascii="宋体" w:hAnsi="宋体" w:eastAsia="宋体" w:cs="宋体"/>
                <w:i w:val="0"/>
                <w:iCs w:val="0"/>
                <w:color w:val="auto"/>
                <w:kern w:val="0"/>
                <w:sz w:val="15"/>
                <w:szCs w:val="15"/>
                <w:highlight w:val="none"/>
                <w:u w:val="none"/>
                <w:lang w:val="en-US" w:eastAsia="zh-CN"/>
              </w:rPr>
              <w:t>兰州石化公司</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西固区</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46万吨/年乙烯装置优化调整改造项目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cs="宋体"/>
                <w:color w:val="auto"/>
                <w:kern w:val="0"/>
                <w:sz w:val="15"/>
                <w:szCs w:val="15"/>
              </w:rPr>
              <w:t>1871.9</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自有资金</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cs="宋体"/>
                <w:color w:val="auto"/>
                <w:kern w:val="0"/>
                <w:sz w:val="15"/>
                <w:szCs w:val="15"/>
              </w:rPr>
              <w:t>结合100万吨/年乙烯项目推进，做好装置局部优化。主要是优化原料结构，实现拔头油分储分裂；更新和维护裂解炉第二急冷器，更新和维护低压蒸汽发生器，提高产汽量。</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2023年12月</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638.46千克标准油/吨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位于</w:t>
            </w:r>
            <w:r>
              <w:rPr>
                <w:rFonts w:hint="default" w:ascii="宋体" w:hAnsi="宋体" w:eastAsia="宋体" w:cs="宋体"/>
                <w:i w:val="0"/>
                <w:iCs w:val="0"/>
                <w:color w:val="auto"/>
                <w:kern w:val="0"/>
                <w:sz w:val="15"/>
                <w:szCs w:val="15"/>
                <w:highlight w:val="none"/>
                <w:u w:val="none"/>
                <w:lang w:val="en-US" w:eastAsia="zh-CN"/>
              </w:rPr>
              <w:t>基准水平和标杆水平之间）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633千克标准油/吨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位于</w:t>
            </w:r>
            <w:r>
              <w:rPr>
                <w:rFonts w:hint="default" w:ascii="宋体" w:hAnsi="宋体" w:eastAsia="宋体" w:cs="宋体"/>
                <w:i w:val="0"/>
                <w:iCs w:val="0"/>
                <w:color w:val="auto"/>
                <w:kern w:val="0"/>
                <w:sz w:val="15"/>
                <w:szCs w:val="15"/>
                <w:highlight w:val="none"/>
                <w:u w:val="none"/>
                <w:lang w:val="en-US" w:eastAsia="zh-CN"/>
              </w:rPr>
              <w:t>基准水平和标杆水平之间）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cs="宋体"/>
                <w:i w:val="0"/>
                <w:iCs w:val="0"/>
                <w:color w:val="auto"/>
                <w:kern w:val="0"/>
                <w:sz w:val="15"/>
                <w:szCs w:val="15"/>
                <w:highlight w:val="none"/>
                <w:u w:val="none"/>
                <w:lang w:val="en-US" w:eastAsia="zh-CN"/>
              </w:rPr>
            </w:pPr>
            <w:r>
              <w:rPr>
                <w:rFonts w:hint="eastAsia" w:ascii="宋体" w:hAnsi="宋体" w:cs="宋体"/>
                <w:i w:val="0"/>
                <w:iCs w:val="0"/>
                <w:color w:val="auto"/>
                <w:kern w:val="0"/>
                <w:sz w:val="15"/>
                <w:szCs w:val="15"/>
                <w:highlight w:val="none"/>
                <w:u w:val="none"/>
                <w:lang w:val="en-US" w:eastAsia="zh-CN"/>
              </w:rPr>
              <w:t>4</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纯碱（联碱法轻质）</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left"/>
              <w:textAlignment w:val="center"/>
              <w:rPr>
                <w:rFonts w:hint="eastAsia" w:ascii="宋体" w:hAnsi="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金昌氨碱源化工</w:t>
            </w:r>
            <w:r>
              <w:rPr>
                <w:rFonts w:hint="eastAsia" w:ascii="宋体" w:hAnsi="宋体" w:cs="宋体"/>
                <w:i w:val="0"/>
                <w:iCs w:val="0"/>
                <w:color w:val="auto"/>
                <w:kern w:val="0"/>
                <w:sz w:val="15"/>
                <w:szCs w:val="15"/>
                <w:highlight w:val="none"/>
                <w:u w:val="none"/>
                <w:lang w:val="en-US" w:eastAsia="zh-CN"/>
              </w:rPr>
              <w:t>有限</w:t>
            </w:r>
            <w:r>
              <w:rPr>
                <w:rFonts w:hint="default" w:ascii="宋体" w:hAnsi="宋体" w:eastAsia="宋体" w:cs="宋体"/>
                <w:i w:val="0"/>
                <w:iCs w:val="0"/>
                <w:color w:val="auto"/>
                <w:kern w:val="0"/>
                <w:sz w:val="15"/>
                <w:szCs w:val="15"/>
                <w:highlight w:val="none"/>
                <w:u w:val="none"/>
                <w:lang w:val="en-US" w:eastAsia="zh-CN"/>
              </w:rPr>
              <w:t>公司</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金昌市</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永昌县</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left"/>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400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自有资金</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left"/>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eastAsia="宋体" w:cs="宋体"/>
                <w:i w:val="0"/>
                <w:iCs w:val="0"/>
                <w:color w:val="auto"/>
                <w:kern w:val="0"/>
                <w:sz w:val="15"/>
                <w:szCs w:val="15"/>
                <w:highlight w:val="none"/>
                <w:u w:val="none"/>
                <w:lang w:val="en-US" w:eastAsia="zh-CN"/>
              </w:rPr>
              <w:t>新增一台</w:t>
            </w:r>
            <w:r>
              <w:rPr>
                <w:rFonts w:hint="eastAsia" w:ascii="宋体" w:hAnsi="宋体" w:cs="宋体"/>
                <w:i w:val="0"/>
                <w:iCs w:val="0"/>
                <w:color w:val="auto"/>
                <w:kern w:val="0"/>
                <w:sz w:val="15"/>
                <w:szCs w:val="15"/>
                <w:highlight w:val="none"/>
                <w:u w:val="none"/>
                <w:lang w:val="en-US" w:eastAsia="zh-CN"/>
              </w:rPr>
              <w:t>清洗气</w:t>
            </w:r>
            <w:r>
              <w:rPr>
                <w:rFonts w:hint="eastAsia" w:ascii="宋体" w:hAnsi="宋体" w:eastAsia="宋体" w:cs="宋体"/>
                <w:i w:val="0"/>
                <w:iCs w:val="0"/>
                <w:color w:val="auto"/>
                <w:kern w:val="0"/>
                <w:sz w:val="15"/>
                <w:szCs w:val="15"/>
                <w:highlight w:val="none"/>
                <w:u w:val="none"/>
                <w:lang w:val="en-US" w:eastAsia="zh-CN"/>
              </w:rPr>
              <w:t>压缩机，替代原有大型压缩机，满足现有工艺</w:t>
            </w:r>
            <w:r>
              <w:rPr>
                <w:rFonts w:hint="eastAsia" w:ascii="宋体" w:hAnsi="宋体" w:cs="宋体"/>
                <w:i w:val="0"/>
                <w:iCs w:val="0"/>
                <w:color w:val="auto"/>
                <w:kern w:val="0"/>
                <w:sz w:val="15"/>
                <w:szCs w:val="15"/>
                <w:highlight w:val="none"/>
                <w:u w:val="none"/>
                <w:lang w:val="en-US" w:eastAsia="zh-CN"/>
              </w:rPr>
              <w:t>，从而</w:t>
            </w:r>
            <w:r>
              <w:rPr>
                <w:rFonts w:hint="eastAsia" w:ascii="宋体" w:hAnsi="宋体" w:eastAsia="宋体" w:cs="宋体"/>
                <w:i w:val="0"/>
                <w:iCs w:val="0"/>
                <w:color w:val="auto"/>
                <w:kern w:val="0"/>
                <w:sz w:val="15"/>
                <w:szCs w:val="15"/>
                <w:highlight w:val="none"/>
                <w:u w:val="none"/>
                <w:lang w:val="en-US" w:eastAsia="zh-CN"/>
              </w:rPr>
              <w:t>降低电耗</w:t>
            </w:r>
            <w:r>
              <w:rPr>
                <w:rFonts w:hint="default" w:ascii="宋体" w:hAnsi="宋体" w:cs="宋体"/>
                <w:i w:val="0"/>
                <w:iCs w:val="0"/>
                <w:color w:val="auto"/>
                <w:kern w:val="0"/>
                <w:sz w:val="15"/>
                <w:szCs w:val="15"/>
                <w:highlight w:val="none"/>
                <w:u w:val="none"/>
                <w:lang w:eastAsia="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2023年12月</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227.23千克标准煤/吨</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（位于基准水平与标杆水平之间）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223千克标准煤/吨</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（位于基准水平与标杆水平之间）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4817" w:type="dxa"/>
            <w:gridSpan w:val="11"/>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rPr>
              <w:t>2025年底实施改造完成项目（7个）</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黑体" w:hAnsi="黑体" w:eastAsia="黑体" w:cs="黑体"/>
                <w:b w:val="0"/>
                <w:bCs w:val="0"/>
                <w:i w:val="0"/>
                <w:iCs w:val="0"/>
                <w:color w:val="auto"/>
                <w:kern w:val="0"/>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cs="宋体"/>
                <w:i w:val="0"/>
                <w:iCs w:val="0"/>
                <w:color w:val="auto"/>
                <w:kern w:val="0"/>
                <w:sz w:val="15"/>
                <w:szCs w:val="15"/>
                <w:highlight w:val="none"/>
                <w:u w:val="none"/>
                <w:lang w:val="en-US" w:eastAsia="zh-CN"/>
              </w:rPr>
              <w:t>5</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煤制焦炭</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（捣鼓焦炉）</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酒泉市浩海煤化有限公司</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酒泉市</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玉门市</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干熄焦余热发电项目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2</w:t>
            </w:r>
            <w:r>
              <w:rPr>
                <w:rFonts w:hint="default" w:ascii="宋体" w:hAnsi="宋体" w:eastAsia="宋体" w:cs="宋体"/>
                <w:i w:val="0"/>
                <w:iCs w:val="0"/>
                <w:color w:val="auto"/>
                <w:kern w:val="0"/>
                <w:sz w:val="15"/>
                <w:szCs w:val="15"/>
                <w:highlight w:val="none"/>
                <w:u w:val="none"/>
                <w:lang w:val="en-US" w:eastAsia="zh-CN"/>
              </w:rPr>
              <w:t>000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自有资金</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eastAsia="宋体" w:cs="宋体"/>
                <w:i w:val="0"/>
                <w:iCs w:val="0"/>
                <w:color w:val="auto"/>
                <w:kern w:val="0"/>
                <w:sz w:val="15"/>
                <w:szCs w:val="15"/>
                <w:highlight w:val="none"/>
                <w:u w:val="none"/>
                <w:lang w:val="en-US" w:eastAsia="zh-CN"/>
              </w:rPr>
              <w:t>对现有干熄焦余热锅炉进行升级改造</w:t>
            </w:r>
            <w:r>
              <w:rPr>
                <w:rFonts w:hint="default" w:ascii="宋体" w:hAnsi="宋体" w:cs="宋体"/>
                <w:i w:val="0"/>
                <w:iCs w:val="0"/>
                <w:color w:val="auto"/>
                <w:kern w:val="0"/>
                <w:sz w:val="15"/>
                <w:szCs w:val="15"/>
                <w:highlight w:val="none"/>
                <w:u w:val="none"/>
                <w:lang w:eastAsia="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2022年1月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2025年12月</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121.29千克标准煤/吨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（位于基准水平与标杆水平之间）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120千克标准煤/吨</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（位于基准水平与标杆水平之间）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15"/>
                <w:szCs w:val="15"/>
                <w:highlight w:val="none"/>
                <w:u w:val="none"/>
                <w:lang w:val="en-US" w:eastAsia="zh-CN"/>
              </w:rPr>
            </w:pPr>
            <w:r>
              <w:rPr>
                <w:rFonts w:hint="eastAsia" w:ascii="宋体" w:hAnsi="宋体" w:cs="宋体"/>
                <w:i w:val="0"/>
                <w:iCs w:val="0"/>
                <w:color w:val="auto"/>
                <w:kern w:val="0"/>
                <w:sz w:val="15"/>
                <w:szCs w:val="15"/>
                <w:highlight w:val="none"/>
                <w:u w:val="none"/>
                <w:lang w:val="en-US" w:eastAsia="zh-CN"/>
              </w:rPr>
              <w:t>6</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煤制焦炭（顶装焦炉）</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甘肃酒钢集团宏兴钢铁股份有限公司</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嘉峪关市</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焦化厂3#4#焦炉技术改造项目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19000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自有资金银行贷款</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eastAsia="宋体" w:cs="宋体"/>
                <w:i w:val="0"/>
                <w:iCs w:val="0"/>
                <w:color w:val="auto"/>
                <w:kern w:val="0"/>
                <w:sz w:val="15"/>
                <w:szCs w:val="15"/>
                <w:highlight w:val="none"/>
                <w:u w:val="none"/>
                <w:lang w:val="en-US" w:eastAsia="zh-CN"/>
              </w:rPr>
              <w:t>实施3#4#焦炉炉体热态维修、3#4#焦炉煤气净化系统全面升级</w:t>
            </w:r>
            <w:r>
              <w:rPr>
                <w:rFonts w:hint="default" w:ascii="宋体" w:hAnsi="宋体" w:cs="宋体"/>
                <w:i w:val="0"/>
                <w:iCs w:val="0"/>
                <w:color w:val="auto"/>
                <w:kern w:val="0"/>
                <w:sz w:val="15"/>
                <w:szCs w:val="15"/>
                <w:highlight w:val="none"/>
                <w:u w:val="none"/>
                <w:lang w:eastAsia="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2025年12月</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127.49千克标准煤/吨</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位于</w:t>
            </w:r>
            <w:r>
              <w:rPr>
                <w:rFonts w:hint="default" w:ascii="宋体" w:hAnsi="宋体" w:eastAsia="宋体" w:cs="宋体"/>
                <w:i w:val="0"/>
                <w:iCs w:val="0"/>
                <w:color w:val="auto"/>
                <w:kern w:val="0"/>
                <w:sz w:val="15"/>
                <w:szCs w:val="15"/>
                <w:highlight w:val="none"/>
                <w:u w:val="none"/>
                <w:lang w:val="en-US" w:eastAsia="zh-CN"/>
              </w:rPr>
              <w:t>基准水平和标杆水平之间）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120千克标准煤/吨</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（位于基准水平与标杆水平之间）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7"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15"/>
                <w:szCs w:val="15"/>
                <w:highlight w:val="none"/>
                <w:u w:val="none"/>
                <w:lang w:val="en-US" w:eastAsia="zh-CN"/>
              </w:rPr>
            </w:pPr>
            <w:r>
              <w:rPr>
                <w:rFonts w:hint="eastAsia" w:ascii="宋体" w:hAnsi="宋体" w:cs="宋体"/>
                <w:i w:val="0"/>
                <w:iCs w:val="0"/>
                <w:color w:val="auto"/>
                <w:kern w:val="0"/>
                <w:sz w:val="15"/>
                <w:szCs w:val="15"/>
                <w:highlight w:val="none"/>
                <w:u w:val="none"/>
                <w:lang w:val="en-US" w:eastAsia="zh-CN"/>
              </w:rPr>
              <w:t>7</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煤制焦炭（捣鼓焦炉）</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内蒙古太西媒集团金昌鑫华焦化</w:t>
            </w:r>
            <w:r>
              <w:rPr>
                <w:rFonts w:hint="eastAsia" w:ascii="宋体" w:hAnsi="宋体" w:cs="宋体"/>
                <w:i w:val="0"/>
                <w:iCs w:val="0"/>
                <w:color w:val="auto"/>
                <w:kern w:val="0"/>
                <w:sz w:val="15"/>
                <w:szCs w:val="15"/>
                <w:highlight w:val="none"/>
                <w:u w:val="none"/>
                <w:lang w:val="en-US" w:eastAsia="zh-CN"/>
              </w:rPr>
              <w:t>有限责任</w:t>
            </w:r>
            <w:r>
              <w:rPr>
                <w:rFonts w:hint="default" w:ascii="宋体" w:hAnsi="宋体" w:eastAsia="宋体" w:cs="宋体"/>
                <w:i w:val="0"/>
                <w:iCs w:val="0"/>
                <w:color w:val="auto"/>
                <w:kern w:val="0"/>
                <w:sz w:val="15"/>
                <w:szCs w:val="15"/>
                <w:highlight w:val="none"/>
                <w:u w:val="none"/>
                <w:lang w:val="en-US" w:eastAsia="zh-CN"/>
              </w:rPr>
              <w:t>公司</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金昌市</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永昌县</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干法熄焦技术改造项目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20000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自有资金及寻求投资合作方</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采用循环惰性气体与炽热红焦进行热交换，回收红焦的热量。主要包括红焦输送系统、干熄炉及供气装置、红焦装入装置、排焦装置、气体循环系统和电梯、干熄焦锅炉、锅炉给水泵站、汽轮发电站和干熄焦区域热力管廊等。</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2025年12月</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139.15千克标准煤/吨</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位于</w:t>
            </w:r>
            <w:r>
              <w:rPr>
                <w:rFonts w:hint="default" w:ascii="宋体" w:hAnsi="宋体" w:eastAsia="宋体" w:cs="宋体"/>
                <w:i w:val="0"/>
                <w:iCs w:val="0"/>
                <w:color w:val="auto"/>
                <w:kern w:val="0"/>
                <w:sz w:val="15"/>
                <w:szCs w:val="15"/>
                <w:highlight w:val="none"/>
                <w:u w:val="none"/>
                <w:lang w:val="en-US" w:eastAsia="zh-CN"/>
              </w:rPr>
              <w:t>基准水平和标杆水平之间）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1</w:t>
            </w:r>
            <w:r>
              <w:rPr>
                <w:rFonts w:hint="eastAsia" w:ascii="宋体" w:hAnsi="宋体" w:eastAsia="宋体" w:cs="宋体"/>
                <w:i w:val="0"/>
                <w:iCs w:val="0"/>
                <w:color w:val="auto"/>
                <w:kern w:val="0"/>
                <w:sz w:val="15"/>
                <w:szCs w:val="15"/>
                <w:highlight w:val="none"/>
                <w:u w:val="none"/>
                <w:lang w:val="en-US" w:eastAsia="zh-CN"/>
              </w:rPr>
              <w:t>1</w:t>
            </w:r>
            <w:r>
              <w:rPr>
                <w:rFonts w:hint="default" w:ascii="宋体" w:hAnsi="宋体" w:eastAsia="宋体" w:cs="宋体"/>
                <w:i w:val="0"/>
                <w:iCs w:val="0"/>
                <w:color w:val="auto"/>
                <w:kern w:val="0"/>
                <w:sz w:val="15"/>
                <w:szCs w:val="15"/>
                <w:highlight w:val="none"/>
                <w:u w:val="none"/>
                <w:lang w:val="en-US" w:eastAsia="zh-CN"/>
              </w:rPr>
              <w:t>0千克标准煤/吨</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（等于</w:t>
            </w:r>
            <w:r>
              <w:rPr>
                <w:rFonts w:hint="default" w:ascii="宋体" w:hAnsi="宋体" w:eastAsia="宋体" w:cs="宋体"/>
                <w:i w:val="0"/>
                <w:iCs w:val="0"/>
                <w:color w:val="auto"/>
                <w:kern w:val="0"/>
                <w:sz w:val="15"/>
                <w:szCs w:val="15"/>
                <w:highlight w:val="none"/>
                <w:u w:val="none"/>
                <w:lang w:val="en-US" w:eastAsia="zh-CN"/>
              </w:rPr>
              <w:t>标杆水平</w:t>
            </w:r>
            <w:r>
              <w:rPr>
                <w:rFonts w:hint="eastAsia" w:ascii="宋体" w:hAnsi="宋体" w:eastAsia="宋体" w:cs="宋体"/>
                <w:i w:val="0"/>
                <w:iCs w:val="0"/>
                <w:color w:val="auto"/>
                <w:kern w:val="0"/>
                <w:sz w:val="15"/>
                <w:szCs w:val="15"/>
                <w:highlight w:val="none"/>
                <w:u w:val="none"/>
                <w:lang w:val="en-US" w:eastAsia="zh-CN"/>
              </w:rPr>
              <w:t>）</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cs="宋体"/>
                <w:i w:val="0"/>
                <w:iCs w:val="0"/>
                <w:color w:val="auto"/>
                <w:kern w:val="0"/>
                <w:sz w:val="15"/>
                <w:szCs w:val="15"/>
                <w:highlight w:val="none"/>
                <w:u w:val="none"/>
                <w:lang w:val="en-US" w:eastAsia="zh-CN"/>
              </w:rPr>
            </w:pPr>
            <w:r>
              <w:rPr>
                <w:rFonts w:hint="eastAsia" w:ascii="宋体" w:hAnsi="宋体" w:cs="宋体"/>
                <w:i w:val="0"/>
                <w:iCs w:val="0"/>
                <w:color w:val="auto"/>
                <w:kern w:val="0"/>
                <w:sz w:val="15"/>
                <w:szCs w:val="15"/>
                <w:highlight w:val="none"/>
                <w:u w:val="none"/>
                <w:lang w:val="en-US" w:eastAsia="zh-CN"/>
              </w:rPr>
              <w:t>8</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煤制焦炭</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（捣鼓焦炉）</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酒泉三七启欣煤化工有限公司（原</w:t>
            </w:r>
            <w:r>
              <w:rPr>
                <w:rFonts w:hint="default" w:ascii="宋体" w:hAnsi="宋体" w:eastAsia="宋体" w:cs="宋体"/>
                <w:i w:val="0"/>
                <w:iCs w:val="0"/>
                <w:color w:val="auto"/>
                <w:kern w:val="0"/>
                <w:sz w:val="15"/>
                <w:szCs w:val="15"/>
                <w:highlight w:val="none"/>
                <w:u w:val="none"/>
                <w:lang w:val="en-US" w:eastAsia="zh-CN"/>
              </w:rPr>
              <w:t>酒泉市金源矿业有限公司</w:t>
            </w:r>
            <w:r>
              <w:rPr>
                <w:rFonts w:hint="eastAsia" w:ascii="宋体" w:hAnsi="宋体" w:eastAsia="宋体" w:cs="宋体"/>
                <w:i w:val="0"/>
                <w:iCs w:val="0"/>
                <w:color w:val="auto"/>
                <w:kern w:val="0"/>
                <w:sz w:val="15"/>
                <w:szCs w:val="15"/>
                <w:highlight w:val="none"/>
                <w:u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酒泉市</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金塔县</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100万吨/年焦炭项目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86962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自有资金银行贷款</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建设100万吨/年焦化工程及配套的干熄焦装置。</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2023年1月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2025年12月</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113.68千克标准煤/吨</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（位于基准水平与标杆水平之间）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单位产品能耗</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109.63千克标准煤/吨</w:t>
            </w:r>
          </w:p>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达到</w:t>
            </w:r>
            <w:r>
              <w:rPr>
                <w:rFonts w:hint="default" w:ascii="宋体" w:hAnsi="宋体" w:eastAsia="宋体" w:cs="宋体"/>
                <w:i w:val="0"/>
                <w:iCs w:val="0"/>
                <w:color w:val="auto"/>
                <w:kern w:val="0"/>
                <w:sz w:val="15"/>
                <w:szCs w:val="15"/>
                <w:highlight w:val="none"/>
                <w:u w:val="none"/>
                <w:lang w:val="en-US" w:eastAsia="zh-CN"/>
              </w:rPr>
              <w:t>标杆水平</w:t>
            </w:r>
            <w:r>
              <w:rPr>
                <w:rFonts w:hint="eastAsia" w:ascii="宋体" w:hAnsi="宋体" w:eastAsia="宋体" w:cs="宋体"/>
                <w:i w:val="0"/>
                <w:iCs w:val="0"/>
                <w:color w:val="auto"/>
                <w:kern w:val="0"/>
                <w:sz w:val="15"/>
                <w:szCs w:val="15"/>
                <w:highlight w:val="none"/>
                <w:u w:val="none"/>
                <w:lang w:val="en-US" w:eastAsia="zh-CN"/>
              </w:rPr>
              <w:t>以上</w:t>
            </w:r>
            <w:r>
              <w:rPr>
                <w:rFonts w:hint="default" w:ascii="宋体" w:hAnsi="宋体" w:eastAsia="宋体" w:cs="宋体"/>
                <w:i w:val="0"/>
                <w:iCs w:val="0"/>
                <w:color w:val="auto"/>
                <w:kern w:val="0"/>
                <w:sz w:val="15"/>
                <w:szCs w:val="15"/>
                <w:highlight w:val="none"/>
                <w:u w:val="none"/>
                <w:lang w:val="en-US" w:eastAsia="zh-CN"/>
              </w:rPr>
              <w:t>）</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eastAsia="zh-CN"/>
              </w:rPr>
            </w:pPr>
            <w:r>
              <w:rPr>
                <w:rFonts w:hint="default" w:ascii="宋体" w:hAnsi="宋体" w:cs="宋体"/>
                <w:i w:val="0"/>
                <w:iCs w:val="0"/>
                <w:color w:val="auto"/>
                <w:kern w:val="0"/>
                <w:sz w:val="15"/>
                <w:szCs w:val="15"/>
                <w:highlight w:val="none"/>
                <w:u w:val="none"/>
                <w:lang w:eastAsia="zh-CN"/>
              </w:rPr>
              <w:t>新建替代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9</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电石</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甘肃海鑫电石有限责任公司</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皋兰县</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电石系统节能技术优化改造项目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1262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自有资金</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left"/>
              <w:textAlignment w:val="center"/>
              <w:rPr>
                <w:rFonts w:hint="default" w:ascii="宋体" w:hAnsi="宋体" w:eastAsia="宋体" w:cs="宋体"/>
                <w:i w:val="0"/>
                <w:iCs w:val="0"/>
                <w:color w:val="auto"/>
                <w:kern w:val="0"/>
                <w:sz w:val="15"/>
                <w:szCs w:val="15"/>
                <w:highlight w:val="none"/>
                <w:u w:val="none"/>
                <w:lang w:eastAsia="zh-CN" w:bidi="ar-SA"/>
              </w:rPr>
            </w:pPr>
            <w:r>
              <w:rPr>
                <w:rFonts w:hint="default" w:ascii="宋体" w:hAnsi="宋体" w:eastAsia="宋体" w:cs="宋体"/>
                <w:i w:val="0"/>
                <w:iCs w:val="0"/>
                <w:color w:val="auto"/>
                <w:kern w:val="0"/>
                <w:sz w:val="15"/>
                <w:szCs w:val="15"/>
                <w:highlight w:val="none"/>
                <w:u w:val="none"/>
                <w:lang w:val="en-US" w:eastAsia="zh-CN"/>
              </w:rPr>
              <w:t>实施电石炉尾气回收及综合利用、电石炉净化灰焚烧利用、兰炭烘干除尘灰焚烧利用等项目，降低能耗</w:t>
            </w:r>
            <w:r>
              <w:rPr>
                <w:rFonts w:hint="default" w:ascii="宋体" w:hAnsi="宋体" w:cs="宋体"/>
                <w:i w:val="0"/>
                <w:iCs w:val="0"/>
                <w:color w:val="auto"/>
                <w:kern w:val="0"/>
                <w:sz w:val="15"/>
                <w:szCs w:val="15"/>
                <w:highlight w:val="none"/>
                <w:u w:val="none"/>
                <w:lang w:eastAsia="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2022年5月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202</w:t>
            </w:r>
            <w:r>
              <w:rPr>
                <w:rFonts w:hint="eastAsia" w:ascii="宋体" w:hAnsi="宋体" w:eastAsia="宋体" w:cs="宋体"/>
                <w:i w:val="0"/>
                <w:iCs w:val="0"/>
                <w:color w:val="auto"/>
                <w:kern w:val="0"/>
                <w:sz w:val="15"/>
                <w:szCs w:val="15"/>
                <w:highlight w:val="none"/>
                <w:u w:val="none"/>
                <w:lang w:val="en-US" w:eastAsia="zh-CN"/>
              </w:rPr>
              <w:t>5</w:t>
            </w:r>
            <w:r>
              <w:rPr>
                <w:rFonts w:hint="default" w:ascii="宋体" w:hAnsi="宋体" w:eastAsia="宋体" w:cs="宋体"/>
                <w:i w:val="0"/>
                <w:iCs w:val="0"/>
                <w:color w:val="auto"/>
                <w:kern w:val="0"/>
                <w:sz w:val="15"/>
                <w:szCs w:val="15"/>
                <w:highlight w:val="none"/>
                <w:u w:val="none"/>
                <w:lang w:val="en-US" w:eastAsia="zh-CN"/>
              </w:rPr>
              <w:t>年12月</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w:t>
            </w:r>
            <w:r>
              <w:rPr>
                <w:rFonts w:hint="eastAsia" w:ascii="宋体" w:hAnsi="宋体" w:cs="宋体"/>
                <w:i w:val="0"/>
                <w:iCs w:val="0"/>
                <w:color w:val="auto"/>
                <w:kern w:val="0"/>
                <w:sz w:val="15"/>
                <w:szCs w:val="15"/>
                <w:highlight w:val="none"/>
                <w:u w:val="none"/>
                <w:lang w:val="en-US" w:eastAsia="zh-CN"/>
              </w:rPr>
              <w:t>综合</w:t>
            </w:r>
            <w:r>
              <w:rPr>
                <w:rFonts w:hint="default" w:ascii="宋体" w:hAnsi="宋体" w:eastAsia="宋体" w:cs="宋体"/>
                <w:i w:val="0"/>
                <w:iCs w:val="0"/>
                <w:color w:val="auto"/>
                <w:kern w:val="0"/>
                <w:sz w:val="15"/>
                <w:szCs w:val="15"/>
                <w:highlight w:val="none"/>
                <w:u w:val="none"/>
                <w:lang w:val="en-US" w:eastAsia="zh-CN"/>
              </w:rPr>
              <w:t>能耗</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900.22（1#炉）</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896.45（2#炉）</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917.21（3#炉）</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位于</w:t>
            </w:r>
            <w:r>
              <w:rPr>
                <w:rFonts w:hint="default" w:ascii="宋体" w:hAnsi="宋体" w:eastAsia="宋体" w:cs="宋体"/>
                <w:i w:val="0"/>
                <w:iCs w:val="0"/>
                <w:color w:val="auto"/>
                <w:kern w:val="0"/>
                <w:sz w:val="15"/>
                <w:szCs w:val="15"/>
                <w:highlight w:val="none"/>
                <w:u w:val="none"/>
                <w:lang w:val="en-US" w:eastAsia="zh-CN"/>
              </w:rPr>
              <w:t>基准水平和标杆水平之间）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w:t>
            </w:r>
            <w:r>
              <w:rPr>
                <w:rFonts w:hint="eastAsia" w:ascii="宋体" w:hAnsi="宋体" w:cs="宋体"/>
                <w:i w:val="0"/>
                <w:iCs w:val="0"/>
                <w:color w:val="auto"/>
                <w:kern w:val="0"/>
                <w:sz w:val="15"/>
                <w:szCs w:val="15"/>
                <w:highlight w:val="none"/>
                <w:u w:val="none"/>
                <w:lang w:val="en-US" w:eastAsia="zh-CN"/>
              </w:rPr>
              <w:t>综合</w:t>
            </w:r>
            <w:r>
              <w:rPr>
                <w:rFonts w:hint="default" w:ascii="宋体" w:hAnsi="宋体" w:eastAsia="宋体" w:cs="宋体"/>
                <w:i w:val="0"/>
                <w:iCs w:val="0"/>
                <w:color w:val="auto"/>
                <w:kern w:val="0"/>
                <w:sz w:val="15"/>
                <w:szCs w:val="15"/>
                <w:highlight w:val="none"/>
                <w:u w:val="none"/>
                <w:lang w:val="en-US" w:eastAsia="zh-CN"/>
              </w:rPr>
              <w:t>能耗</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805</w:t>
            </w:r>
            <w:r>
              <w:rPr>
                <w:rFonts w:hint="default" w:ascii="宋体" w:hAnsi="宋体" w:eastAsia="宋体" w:cs="宋体"/>
                <w:i w:val="0"/>
                <w:iCs w:val="0"/>
                <w:color w:val="auto"/>
                <w:kern w:val="0"/>
                <w:sz w:val="15"/>
                <w:szCs w:val="15"/>
                <w:highlight w:val="none"/>
                <w:u w:val="none"/>
                <w:lang w:val="en-US" w:eastAsia="zh-CN"/>
              </w:rPr>
              <w:t>千克标准煤/吨</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cs="宋体"/>
                <w:i w:val="0"/>
                <w:iCs w:val="0"/>
                <w:color w:val="auto"/>
                <w:kern w:val="0"/>
                <w:sz w:val="15"/>
                <w:szCs w:val="15"/>
                <w:highlight w:val="none"/>
                <w:u w:val="none"/>
                <w:lang w:val="en-US" w:eastAsia="zh-CN"/>
              </w:rPr>
              <w:t>等于</w:t>
            </w:r>
            <w:r>
              <w:rPr>
                <w:rFonts w:hint="default" w:ascii="宋体" w:hAnsi="宋体" w:eastAsia="宋体" w:cs="宋体"/>
                <w:i w:val="0"/>
                <w:iCs w:val="0"/>
                <w:color w:val="auto"/>
                <w:kern w:val="0"/>
                <w:sz w:val="15"/>
                <w:szCs w:val="15"/>
                <w:highlight w:val="none"/>
                <w:u w:val="none"/>
                <w:lang w:val="en-US" w:eastAsia="zh-CN"/>
              </w:rPr>
              <w:t>标杆水平）</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10</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电石</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甘肃鸿丰电石有限公司</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兰州市</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皋兰县</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节能技术改造升级项目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1990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自有资金</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left"/>
              <w:textAlignment w:val="center"/>
              <w:rPr>
                <w:rFonts w:hint="default" w:ascii="宋体" w:hAnsi="宋体" w:eastAsia="宋体" w:cs="宋体"/>
                <w:i w:val="0"/>
                <w:iCs w:val="0"/>
                <w:color w:val="auto"/>
                <w:kern w:val="0"/>
                <w:sz w:val="15"/>
                <w:szCs w:val="15"/>
                <w:highlight w:val="none"/>
                <w:u w:val="none"/>
                <w:lang w:eastAsia="zh-CN" w:bidi="ar-SA"/>
              </w:rPr>
            </w:pPr>
            <w:r>
              <w:rPr>
                <w:rFonts w:hint="default" w:ascii="宋体" w:hAnsi="宋体" w:eastAsia="宋体" w:cs="宋体"/>
                <w:i w:val="0"/>
                <w:iCs w:val="0"/>
                <w:color w:val="auto"/>
                <w:kern w:val="0"/>
                <w:sz w:val="15"/>
                <w:szCs w:val="15"/>
                <w:highlight w:val="none"/>
                <w:u w:val="none"/>
                <w:lang w:val="en-US" w:eastAsia="zh-CN"/>
              </w:rPr>
              <w:t>实施电石炉尾气回收及综合利用、电石炉净化灰焚烧利用、兰炭烘干除尘灰焚烧利用等项目</w:t>
            </w:r>
            <w:r>
              <w:rPr>
                <w:rFonts w:hint="default" w:ascii="宋体" w:hAnsi="宋体" w:cs="宋体"/>
                <w:i w:val="0"/>
                <w:iCs w:val="0"/>
                <w:color w:val="auto"/>
                <w:kern w:val="0"/>
                <w:sz w:val="15"/>
                <w:szCs w:val="15"/>
                <w:highlight w:val="none"/>
                <w:u w:val="none"/>
                <w:lang w:eastAsia="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2022年5月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202</w:t>
            </w:r>
            <w:r>
              <w:rPr>
                <w:rFonts w:hint="eastAsia" w:ascii="宋体" w:hAnsi="宋体" w:eastAsia="宋体" w:cs="宋体"/>
                <w:i w:val="0"/>
                <w:iCs w:val="0"/>
                <w:color w:val="auto"/>
                <w:kern w:val="0"/>
                <w:sz w:val="15"/>
                <w:szCs w:val="15"/>
                <w:highlight w:val="none"/>
                <w:u w:val="none"/>
                <w:lang w:val="en-US" w:eastAsia="zh-CN"/>
              </w:rPr>
              <w:t>5</w:t>
            </w:r>
            <w:r>
              <w:rPr>
                <w:rFonts w:hint="default" w:ascii="宋体" w:hAnsi="宋体" w:eastAsia="宋体" w:cs="宋体"/>
                <w:i w:val="0"/>
                <w:iCs w:val="0"/>
                <w:color w:val="auto"/>
                <w:kern w:val="0"/>
                <w:sz w:val="15"/>
                <w:szCs w:val="15"/>
                <w:highlight w:val="none"/>
                <w:u w:val="none"/>
                <w:lang w:val="en-US" w:eastAsia="zh-CN"/>
              </w:rPr>
              <w:t>年12月</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w:t>
            </w:r>
            <w:r>
              <w:rPr>
                <w:rFonts w:hint="eastAsia" w:ascii="宋体" w:hAnsi="宋体" w:cs="宋体"/>
                <w:i w:val="0"/>
                <w:iCs w:val="0"/>
                <w:color w:val="auto"/>
                <w:kern w:val="0"/>
                <w:sz w:val="15"/>
                <w:szCs w:val="15"/>
                <w:highlight w:val="none"/>
                <w:u w:val="none"/>
                <w:lang w:val="en-US" w:eastAsia="zh-CN"/>
              </w:rPr>
              <w:t>综合</w:t>
            </w:r>
            <w:r>
              <w:rPr>
                <w:rFonts w:hint="default" w:ascii="宋体" w:hAnsi="宋体" w:eastAsia="宋体" w:cs="宋体"/>
                <w:i w:val="0"/>
                <w:iCs w:val="0"/>
                <w:color w:val="auto"/>
                <w:kern w:val="0"/>
                <w:sz w:val="15"/>
                <w:szCs w:val="15"/>
                <w:highlight w:val="none"/>
                <w:u w:val="none"/>
                <w:lang w:val="en-US" w:eastAsia="zh-CN"/>
              </w:rPr>
              <w:t>能耗</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903.51（1#）901.62（2#）</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903.56（3#）902.71（4#）</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901.72（5#）901.42（6#）</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位于</w:t>
            </w:r>
            <w:r>
              <w:rPr>
                <w:rFonts w:hint="default" w:ascii="宋体" w:hAnsi="宋体" w:eastAsia="宋体" w:cs="宋体"/>
                <w:i w:val="0"/>
                <w:iCs w:val="0"/>
                <w:color w:val="auto"/>
                <w:kern w:val="0"/>
                <w:sz w:val="15"/>
                <w:szCs w:val="15"/>
                <w:highlight w:val="none"/>
                <w:u w:val="none"/>
                <w:lang w:val="en-US" w:eastAsia="zh-CN"/>
              </w:rPr>
              <w:t>基准水平和标杆水平之间）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w:t>
            </w:r>
            <w:r>
              <w:rPr>
                <w:rFonts w:hint="eastAsia" w:ascii="宋体" w:hAnsi="宋体" w:cs="宋体"/>
                <w:i w:val="0"/>
                <w:iCs w:val="0"/>
                <w:color w:val="auto"/>
                <w:kern w:val="0"/>
                <w:sz w:val="15"/>
                <w:szCs w:val="15"/>
                <w:highlight w:val="none"/>
                <w:u w:val="none"/>
                <w:lang w:val="en-US" w:eastAsia="zh-CN"/>
              </w:rPr>
              <w:t>综合</w:t>
            </w:r>
            <w:r>
              <w:rPr>
                <w:rFonts w:hint="default" w:ascii="宋体" w:hAnsi="宋体" w:eastAsia="宋体" w:cs="宋体"/>
                <w:i w:val="0"/>
                <w:iCs w:val="0"/>
                <w:color w:val="auto"/>
                <w:kern w:val="0"/>
                <w:sz w:val="15"/>
                <w:szCs w:val="15"/>
                <w:highlight w:val="none"/>
                <w:u w:val="none"/>
                <w:lang w:val="en-US" w:eastAsia="zh-CN"/>
              </w:rPr>
              <w:t>能耗</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805</w:t>
            </w:r>
            <w:r>
              <w:rPr>
                <w:rFonts w:hint="default" w:ascii="宋体" w:hAnsi="宋体" w:eastAsia="宋体" w:cs="宋体"/>
                <w:i w:val="0"/>
                <w:iCs w:val="0"/>
                <w:color w:val="auto"/>
                <w:kern w:val="0"/>
                <w:sz w:val="15"/>
                <w:szCs w:val="15"/>
                <w:highlight w:val="none"/>
                <w:u w:val="none"/>
                <w:lang w:val="en-US" w:eastAsia="zh-CN"/>
              </w:rPr>
              <w:t>千克标准煤/吨</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cs="宋体"/>
                <w:i w:val="0"/>
                <w:iCs w:val="0"/>
                <w:color w:val="auto"/>
                <w:kern w:val="0"/>
                <w:sz w:val="15"/>
                <w:szCs w:val="15"/>
                <w:highlight w:val="none"/>
                <w:u w:val="none"/>
                <w:lang w:val="en-US" w:eastAsia="zh-CN"/>
              </w:rPr>
              <w:t>等于</w:t>
            </w:r>
            <w:r>
              <w:rPr>
                <w:rFonts w:hint="default" w:ascii="宋体" w:hAnsi="宋体" w:eastAsia="宋体" w:cs="宋体"/>
                <w:i w:val="0"/>
                <w:iCs w:val="0"/>
                <w:color w:val="auto"/>
                <w:kern w:val="0"/>
                <w:sz w:val="15"/>
                <w:szCs w:val="15"/>
                <w:highlight w:val="none"/>
                <w:u w:val="none"/>
                <w:lang w:val="en-US" w:eastAsia="zh-CN"/>
              </w:rPr>
              <w:t>标杆水平）</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37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2"/>
                <w:sz w:val="15"/>
                <w:szCs w:val="15"/>
                <w:highlight w:val="none"/>
                <w:u w:val="none"/>
                <w:lang w:val="en-US" w:eastAsia="zh-CN" w:bidi="ar-SA"/>
              </w:rPr>
            </w:pPr>
            <w:r>
              <w:rPr>
                <w:rFonts w:hint="eastAsia" w:ascii="宋体" w:hAnsi="宋体" w:cs="宋体"/>
                <w:i w:val="0"/>
                <w:iCs w:val="0"/>
                <w:color w:val="auto"/>
                <w:kern w:val="0"/>
                <w:sz w:val="15"/>
                <w:szCs w:val="15"/>
                <w:highlight w:val="none"/>
                <w:u w:val="none"/>
                <w:lang w:val="en-US" w:eastAsia="zh-CN"/>
              </w:rPr>
              <w:t>11</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电石</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甘肃金泥化工有限责任公司</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甘肃省</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金昌市</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永昌县</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left"/>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电石系统节能技术优化改造项目</w:t>
            </w:r>
          </w:p>
        </w:tc>
        <w:tc>
          <w:tcPr>
            <w:tcW w:w="11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eastAsia" w:ascii="宋体" w:hAnsi="宋体" w:eastAsia="宋体" w:cs="宋体"/>
                <w:i w:val="0"/>
                <w:iCs w:val="0"/>
                <w:color w:val="auto"/>
                <w:kern w:val="0"/>
                <w:sz w:val="15"/>
                <w:szCs w:val="15"/>
                <w:highlight w:val="none"/>
                <w:u w:val="none"/>
                <w:lang w:val="en-US" w:eastAsia="zh-CN"/>
              </w:rPr>
              <w:t>1180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自有资金</w:t>
            </w:r>
          </w:p>
        </w:tc>
        <w:tc>
          <w:tcPr>
            <w:tcW w:w="220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left"/>
              <w:textAlignment w:val="center"/>
              <w:rPr>
                <w:rFonts w:hint="default" w:ascii="宋体" w:hAnsi="宋体" w:eastAsia="宋体" w:cs="宋体"/>
                <w:i w:val="0"/>
                <w:iCs w:val="0"/>
                <w:color w:val="auto"/>
                <w:kern w:val="0"/>
                <w:sz w:val="15"/>
                <w:szCs w:val="15"/>
                <w:highlight w:val="none"/>
                <w:u w:val="none"/>
                <w:lang w:eastAsia="zh-CN" w:bidi="ar-SA"/>
              </w:rPr>
            </w:pPr>
            <w:r>
              <w:rPr>
                <w:rFonts w:hint="eastAsia" w:ascii="宋体" w:hAnsi="宋体" w:eastAsia="宋体" w:cs="宋体"/>
                <w:i w:val="0"/>
                <w:iCs w:val="0"/>
                <w:color w:val="auto"/>
                <w:kern w:val="0"/>
                <w:sz w:val="15"/>
                <w:szCs w:val="15"/>
                <w:highlight w:val="none"/>
                <w:u w:val="none"/>
                <w:lang w:val="en-US" w:eastAsia="zh-CN"/>
              </w:rPr>
              <w:t>升</w:t>
            </w:r>
            <w:r>
              <w:rPr>
                <w:rFonts w:hint="default" w:ascii="宋体" w:hAnsi="宋体" w:eastAsia="宋体" w:cs="宋体"/>
                <w:i w:val="0"/>
                <w:iCs w:val="0"/>
                <w:color w:val="auto"/>
                <w:kern w:val="0"/>
                <w:sz w:val="15"/>
                <w:szCs w:val="15"/>
                <w:highlight w:val="none"/>
                <w:u w:val="none"/>
                <w:lang w:val="en-US" w:eastAsia="zh-CN"/>
              </w:rPr>
              <w:t>级改造后的出炉机器人系统具有以下功能：自动搭电、自动烧穿、自动开眼、自动带钎、自动堵眼和清炉舌等作业，可以稳定生产工艺、提高产量，充分满足了电石炉前作业的生产要求</w:t>
            </w:r>
            <w:r>
              <w:rPr>
                <w:rFonts w:hint="default" w:ascii="宋体" w:hAnsi="宋体" w:cs="宋体"/>
                <w:i w:val="0"/>
                <w:iCs w:val="0"/>
                <w:color w:val="auto"/>
                <w:kern w:val="0"/>
                <w:sz w:val="15"/>
                <w:szCs w:val="15"/>
                <w:highlight w:val="none"/>
                <w:u w:val="none"/>
                <w:lang w:eastAsia="zh-CN"/>
              </w:rPr>
              <w:t>。</w:t>
            </w:r>
          </w:p>
        </w:tc>
        <w:tc>
          <w:tcPr>
            <w:tcW w:w="11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2022年6月</w:t>
            </w:r>
          </w:p>
          <w:p>
            <w:pPr>
              <w:widowControl/>
              <w:wordWrap/>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kern w:val="0"/>
                <w:sz w:val="15"/>
                <w:szCs w:val="15"/>
                <w:highlight w:val="none"/>
                <w:u w:val="none"/>
                <w:lang w:val="en-US" w:eastAsia="zh-CN"/>
              </w:rPr>
            </w:pPr>
            <w:r>
              <w:rPr>
                <w:rFonts w:hint="eastAsia" w:ascii="宋体" w:hAnsi="宋体" w:eastAsia="宋体" w:cs="宋体"/>
                <w:i w:val="0"/>
                <w:iCs w:val="0"/>
                <w:color w:val="auto"/>
                <w:kern w:val="0"/>
                <w:sz w:val="15"/>
                <w:szCs w:val="15"/>
                <w:highlight w:val="none"/>
                <w:u w:val="none"/>
                <w:lang w:val="en-US" w:eastAsia="zh-CN"/>
              </w:rPr>
              <w:t>－</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202</w:t>
            </w:r>
            <w:r>
              <w:rPr>
                <w:rFonts w:hint="eastAsia" w:ascii="宋体" w:hAnsi="宋体" w:eastAsia="宋体" w:cs="宋体"/>
                <w:i w:val="0"/>
                <w:iCs w:val="0"/>
                <w:color w:val="auto"/>
                <w:kern w:val="0"/>
                <w:sz w:val="15"/>
                <w:szCs w:val="15"/>
                <w:highlight w:val="none"/>
                <w:u w:val="none"/>
                <w:lang w:val="en-US" w:eastAsia="zh-CN"/>
              </w:rPr>
              <w:t>5</w:t>
            </w:r>
            <w:r>
              <w:rPr>
                <w:rFonts w:hint="default" w:ascii="宋体" w:hAnsi="宋体" w:eastAsia="宋体" w:cs="宋体"/>
                <w:i w:val="0"/>
                <w:iCs w:val="0"/>
                <w:color w:val="auto"/>
                <w:kern w:val="0"/>
                <w:sz w:val="15"/>
                <w:szCs w:val="15"/>
                <w:highlight w:val="none"/>
                <w:u w:val="none"/>
                <w:lang w:val="en-US" w:eastAsia="zh-CN"/>
              </w:rPr>
              <w:t>年12月</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eastAsia" w:ascii="宋体" w:hAnsi="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w:t>
            </w:r>
            <w:r>
              <w:rPr>
                <w:rFonts w:hint="eastAsia" w:ascii="宋体" w:hAnsi="宋体" w:cs="宋体"/>
                <w:i w:val="0"/>
                <w:iCs w:val="0"/>
                <w:color w:val="auto"/>
                <w:kern w:val="0"/>
                <w:sz w:val="15"/>
                <w:szCs w:val="15"/>
                <w:highlight w:val="none"/>
                <w:u w:val="none"/>
                <w:lang w:val="en-US" w:eastAsia="zh-CN"/>
              </w:rPr>
              <w:t>综合</w:t>
            </w:r>
            <w:r>
              <w:rPr>
                <w:rFonts w:hint="default" w:ascii="宋体" w:hAnsi="宋体" w:eastAsia="宋体" w:cs="宋体"/>
                <w:i w:val="0"/>
                <w:iCs w:val="0"/>
                <w:color w:val="auto"/>
                <w:kern w:val="0"/>
                <w:sz w:val="15"/>
                <w:szCs w:val="15"/>
                <w:highlight w:val="none"/>
                <w:u w:val="none"/>
                <w:lang w:val="en-US" w:eastAsia="zh-CN"/>
              </w:rPr>
              <w:t>能耗</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919.4千克标准煤/吨</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w:t>
            </w:r>
            <w:r>
              <w:rPr>
                <w:rFonts w:hint="eastAsia" w:ascii="宋体" w:hAnsi="宋体" w:eastAsia="宋体" w:cs="宋体"/>
                <w:i w:val="0"/>
                <w:iCs w:val="0"/>
                <w:color w:val="auto"/>
                <w:kern w:val="0"/>
                <w:sz w:val="15"/>
                <w:szCs w:val="15"/>
                <w:highlight w:val="none"/>
                <w:u w:val="none"/>
                <w:lang w:val="en-US" w:eastAsia="zh-CN"/>
              </w:rPr>
              <w:t>位于</w:t>
            </w:r>
            <w:r>
              <w:rPr>
                <w:rFonts w:hint="default" w:ascii="宋体" w:hAnsi="宋体" w:eastAsia="宋体" w:cs="宋体"/>
                <w:i w:val="0"/>
                <w:iCs w:val="0"/>
                <w:color w:val="auto"/>
                <w:kern w:val="0"/>
                <w:sz w:val="15"/>
                <w:szCs w:val="15"/>
                <w:highlight w:val="none"/>
                <w:u w:val="none"/>
                <w:lang w:val="en-US" w:eastAsia="zh-CN"/>
              </w:rPr>
              <w:t>基准水平和标杆水平之间）</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eastAsia" w:ascii="宋体" w:hAnsi="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单位产品</w:t>
            </w:r>
            <w:r>
              <w:rPr>
                <w:rFonts w:hint="eastAsia" w:ascii="宋体" w:hAnsi="宋体" w:cs="宋体"/>
                <w:i w:val="0"/>
                <w:iCs w:val="0"/>
                <w:color w:val="auto"/>
                <w:kern w:val="0"/>
                <w:sz w:val="15"/>
                <w:szCs w:val="15"/>
                <w:highlight w:val="none"/>
                <w:u w:val="none"/>
                <w:lang w:val="en-US" w:eastAsia="zh-CN"/>
              </w:rPr>
              <w:t>综合</w:t>
            </w:r>
            <w:r>
              <w:rPr>
                <w:rFonts w:hint="default" w:ascii="宋体" w:hAnsi="宋体" w:eastAsia="宋体" w:cs="宋体"/>
                <w:i w:val="0"/>
                <w:iCs w:val="0"/>
                <w:color w:val="auto"/>
                <w:kern w:val="0"/>
                <w:sz w:val="15"/>
                <w:szCs w:val="15"/>
                <w:highlight w:val="none"/>
                <w:u w:val="none"/>
                <w:lang w:val="en-US" w:eastAsia="zh-CN"/>
              </w:rPr>
              <w:t>能耗</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eastAsia="宋体" w:cs="宋体"/>
                <w:i w:val="0"/>
                <w:iCs w:val="0"/>
                <w:color w:val="auto"/>
                <w:kern w:val="0"/>
                <w:sz w:val="15"/>
                <w:szCs w:val="15"/>
                <w:highlight w:val="none"/>
                <w:u w:val="none"/>
                <w:lang w:val="en-US" w:eastAsia="zh-CN"/>
              </w:rPr>
              <w:t>8</w:t>
            </w:r>
            <w:r>
              <w:rPr>
                <w:rFonts w:hint="eastAsia" w:ascii="宋体" w:hAnsi="宋体" w:cs="宋体"/>
                <w:i w:val="0"/>
                <w:iCs w:val="0"/>
                <w:color w:val="auto"/>
                <w:kern w:val="0"/>
                <w:sz w:val="15"/>
                <w:szCs w:val="15"/>
                <w:highlight w:val="none"/>
                <w:u w:val="none"/>
                <w:lang w:val="en-US" w:eastAsia="zh-CN"/>
              </w:rPr>
              <w:t>50</w:t>
            </w:r>
            <w:r>
              <w:rPr>
                <w:rFonts w:hint="default" w:ascii="宋体" w:hAnsi="宋体" w:eastAsia="宋体" w:cs="宋体"/>
                <w:i w:val="0"/>
                <w:iCs w:val="0"/>
                <w:color w:val="auto"/>
                <w:kern w:val="0"/>
                <w:sz w:val="15"/>
                <w:szCs w:val="15"/>
                <w:highlight w:val="none"/>
                <w:u w:val="none"/>
                <w:lang w:val="en-US" w:eastAsia="zh-CN"/>
              </w:rPr>
              <w:t>千克标准煤/吨</w:t>
            </w:r>
          </w:p>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bidi="ar-SA"/>
              </w:rPr>
            </w:pPr>
            <w:r>
              <w:rPr>
                <w:rFonts w:hint="default" w:ascii="宋体" w:hAnsi="宋体" w:eastAsia="宋体" w:cs="宋体"/>
                <w:i w:val="0"/>
                <w:iCs w:val="0"/>
                <w:color w:val="auto"/>
                <w:kern w:val="0"/>
                <w:sz w:val="15"/>
                <w:szCs w:val="15"/>
                <w:highlight w:val="none"/>
                <w:u w:val="none"/>
                <w:lang w:val="en-US" w:eastAsia="zh-CN"/>
              </w:rPr>
              <w:t>（位于基准水平与标杆水平之间）</w:t>
            </w:r>
          </w:p>
        </w:tc>
        <w:tc>
          <w:tcPr>
            <w:tcW w:w="838"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Autospacing="0" w:after="0" w:afterAutospacing="0" w:line="240" w:lineRule="exact"/>
              <w:ind w:left="0" w:leftChars="0" w:right="0"/>
              <w:jc w:val="center"/>
              <w:textAlignment w:val="center"/>
              <w:rPr>
                <w:rFonts w:hint="default" w:ascii="宋体" w:hAnsi="宋体" w:eastAsia="宋体" w:cs="宋体"/>
                <w:i w:val="0"/>
                <w:iCs w:val="0"/>
                <w:color w:val="auto"/>
                <w:kern w:val="0"/>
                <w:sz w:val="15"/>
                <w:szCs w:val="15"/>
                <w:highlight w:val="none"/>
                <w:u w:val="none"/>
                <w:lang w:val="en-US" w:eastAsia="zh-CN"/>
              </w:rPr>
            </w:pPr>
            <w:r>
              <w:rPr>
                <w:rFonts w:hint="default" w:ascii="宋体" w:hAnsi="宋体" w:cs="宋体"/>
                <w:i w:val="0"/>
                <w:iCs w:val="0"/>
                <w:color w:val="auto"/>
                <w:kern w:val="0"/>
                <w:sz w:val="15"/>
                <w:szCs w:val="15"/>
                <w:highlight w:val="none"/>
                <w:u w:val="none"/>
                <w:lang w:eastAsia="zh-CN"/>
              </w:rPr>
              <w:t>改造提升</w:t>
            </w:r>
          </w:p>
        </w:tc>
      </w:tr>
    </w:tbl>
    <w:p>
      <w:pPr>
        <w:widowControl w:val="0"/>
        <w:wordWrap/>
        <w:adjustRightInd/>
        <w:snapToGrid/>
        <w:spacing w:line="240" w:lineRule="auto"/>
        <w:ind w:left="0" w:leftChars="0" w:right="0" w:firstLine="640"/>
        <w:jc w:val="both"/>
        <w:textAlignment w:val="auto"/>
        <w:outlineLvl w:val="9"/>
        <w:rPr>
          <w:rFonts w:hint="default" w:ascii="仿宋_GB2312" w:hAnsi="仿宋_GB2312" w:eastAsia="仿宋_GB2312" w:cs="仿宋_GB2312"/>
          <w:color w:val="auto"/>
          <w:sz w:val="32"/>
          <w:szCs w:val="32"/>
          <w:highlight w:val="none"/>
          <w:lang w:val="en-US" w:eastAsia="zh-CN"/>
        </w:rPr>
      </w:pPr>
    </w:p>
    <w:sectPr>
      <w:pgSz w:w="16838" w:h="11906" w:orient="landscape"/>
      <w:pgMar w:top="1800" w:right="850" w:bottom="1800" w:left="85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Helvetica">
    <w:altName w:val="华文仿宋"/>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宋体" w:hAnsi="宋体" w:eastAsia="宋体" w:cs="Times New Roman"/>
        <w:kern w:val="2"/>
        <w:sz w:val="18"/>
        <w:szCs w:val="18"/>
        <w:lang w:val="en-US" w:eastAsia="zh-CN" w:bidi="ar-SA"/>
      </w:rPr>
      <w:pict>
        <v:rect id="文本框 8"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WRkZDAwNGI4MDU1MjlmMTI3NzFhYmVlOWQxNjUxYTUifQ=="/>
  </w:docVars>
  <w:rsids>
    <w:rsidRoot w:val="00000000"/>
    <w:rsid w:val="043B1A01"/>
    <w:rsid w:val="0D797E6C"/>
    <w:rsid w:val="182D5E09"/>
    <w:rsid w:val="26287728"/>
    <w:rsid w:val="33F16546"/>
    <w:rsid w:val="39057F49"/>
    <w:rsid w:val="3BA95963"/>
    <w:rsid w:val="47430FF6"/>
    <w:rsid w:val="54215E81"/>
    <w:rsid w:val="567974EA"/>
    <w:rsid w:val="5AD27E79"/>
    <w:rsid w:val="5BE14082"/>
    <w:rsid w:val="63036A99"/>
    <w:rsid w:val="6393256E"/>
    <w:rsid w:val="67F3A7D7"/>
    <w:rsid w:val="68D55463"/>
    <w:rsid w:val="6A025978"/>
    <w:rsid w:val="740003DC"/>
    <w:rsid w:val="79776BA4"/>
    <w:rsid w:val="797C305E"/>
    <w:rsid w:val="7DBA6BD2"/>
    <w:rsid w:val="9FBB831D"/>
    <w:rsid w:val="FFFDE6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widowControl/>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rFonts w:ascii="宋体" w:hAnsi="宋体"/>
      <w:sz w:val="18"/>
      <w:szCs w:val="18"/>
      <w:lang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adjustRightInd w:val="0"/>
      <w:snapToGrid w:val="0"/>
      <w:spacing w:before="100" w:beforeAutospacing="1" w:after="100" w:afterAutospacing="1" w:line="560" w:lineRule="exact"/>
      <w:jc w:val="center"/>
      <w:outlineLvl w:val="0"/>
    </w:pPr>
    <w:rPr>
      <w:rFonts w:eastAsia="方正小标宋_GBK"/>
      <w:bCs/>
      <w:kern w:val="0"/>
      <w:sz w:val="44"/>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正文（缩进）"/>
    <w:basedOn w:val="1"/>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10">
    <w:name w:val="font21"/>
    <w:basedOn w:val="7"/>
    <w:qFormat/>
    <w:uiPriority w:val="0"/>
    <w:rPr>
      <w:rFonts w:hint="default" w:ascii="Helvetica" w:hAnsi="Helvetica" w:eastAsia="Helvetica" w:cs="Helvetica"/>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7201</Words>
  <Characters>7518</Characters>
  <Lines>1</Lines>
  <Paragraphs>1</Paragraphs>
  <TotalTime>3</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2022-06-18T15:35:00Z</dcterms:created>
  <dc:creator>安娅Anya</dc:creator>
  <cp:lastModifiedBy>greatwall</cp:lastModifiedBy>
  <cp:lastPrinted>2022-06-24T19:53:00Z</cp:lastPrinted>
  <dcterms:modified xsi:type="dcterms:W3CDTF">2022-08-04T11:15:40Z</dcterms:modified>
  <dc:title>甘肃省冶金、建材领域企业节能降碳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8E4657CA453F4D87929EBCBDCF5A6F28</vt:lpwstr>
  </property>
</Properties>
</file>