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pPr>
        <w:jc w:val="center"/>
        <w:outlineLvl w:val="1"/>
        <w:rPr>
          <w:rFonts w:hint="eastAsia" w:ascii="方正小标宋简体" w:hAnsi="方正小标宋简体" w:eastAsia="方正小标宋简体" w:cs="方正小标宋简体"/>
          <w:sz w:val="36"/>
          <w:szCs w:val="36"/>
          <w:highlight w:val="none"/>
        </w:rPr>
      </w:pPr>
      <w:bookmarkStart w:id="2" w:name="_GoBack"/>
      <w:r>
        <w:rPr>
          <w:rFonts w:hint="eastAsia" w:ascii="方正小标宋简体" w:hAnsi="方正小标宋简体" w:eastAsia="方正小标宋简体" w:cs="方正小标宋简体"/>
          <w:sz w:val="36"/>
          <w:szCs w:val="36"/>
          <w:highlight w:val="none"/>
        </w:rPr>
        <w:t>绿色供应链管理</w:t>
      </w:r>
      <w:r>
        <w:rPr>
          <w:rFonts w:hint="eastAsia" w:ascii="方正小标宋简体" w:hAnsi="方正小标宋简体" w:eastAsia="方正小标宋简体" w:cs="方正小标宋简体"/>
          <w:sz w:val="36"/>
          <w:szCs w:val="36"/>
          <w:highlight w:val="none"/>
          <w:lang w:val="en-US" w:eastAsia="zh-CN"/>
        </w:rPr>
        <w:t>企业</w:t>
      </w:r>
      <w:r>
        <w:rPr>
          <w:rFonts w:hint="eastAsia" w:ascii="方正小标宋简体" w:hAnsi="方正小标宋简体" w:eastAsia="方正小标宋简体" w:cs="方正小标宋简体"/>
          <w:sz w:val="36"/>
          <w:szCs w:val="36"/>
          <w:highlight w:val="none"/>
        </w:rPr>
        <w:t>评价要求</w:t>
      </w:r>
    </w:p>
    <w:bookmarkEnd w:id="2"/>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2"/>
      <w:bookmarkStart w:id="1" w:name="OLE_LINK1"/>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vAlign w:val="center"/>
          </w:tcPr>
          <w:p>
            <w:pP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25" o:spt="75" type="#_x0000_t75" style="height:44.35pt;width:410.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Equation.3" ShapeID="_x0000_s1026" DrawAspect="Content" ObjectID="_1468075726" r:id="rId7">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黑体" w:cs="Times New Roman"/>
          <w:sz w:val="32"/>
          <w:szCs w:val="32"/>
          <w:highlight w:val="none"/>
        </w:rPr>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OWU1MmY1ZGRjYTFhY2FhMjBlMDI4MTgzMDg3YzIifQ=="/>
  </w:docVars>
  <w:rsids>
    <w:rsidRoot w:val="11DC0BE8"/>
    <w:rsid w:val="00867EE0"/>
    <w:rsid w:val="032606F9"/>
    <w:rsid w:val="0A260CC6"/>
    <w:rsid w:val="0F4F5AFD"/>
    <w:rsid w:val="11DC0BE8"/>
    <w:rsid w:val="1A8F57E0"/>
    <w:rsid w:val="1F8C3E63"/>
    <w:rsid w:val="2438283D"/>
    <w:rsid w:val="2FFD7AFF"/>
    <w:rsid w:val="3B2E60E8"/>
    <w:rsid w:val="3C447CAE"/>
    <w:rsid w:val="3D447366"/>
    <w:rsid w:val="3DA73D1C"/>
    <w:rsid w:val="3DC74632"/>
    <w:rsid w:val="45466EFA"/>
    <w:rsid w:val="51982517"/>
    <w:rsid w:val="53AD49DE"/>
    <w:rsid w:val="550074C6"/>
    <w:rsid w:val="5C183AE4"/>
    <w:rsid w:val="5DCC0290"/>
    <w:rsid w:val="6585628E"/>
    <w:rsid w:val="7B2B5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2024-06-17T12:49:00Z</dcterms:created>
  <dc:creator>黄奕</dc:creator>
  <cp:lastModifiedBy>黄奕</cp:lastModifiedBy>
  <dcterms:modified xsi:type="dcterms:W3CDTF">2024-06-17T12:49:30Z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B9DF6F4A1E994DF48CB2E64BB2ECE507_11</vt:lpwstr>
  </property>
</Properties>
</file>